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10" w:rsidRPr="003B7BDB" w:rsidRDefault="009268D7">
      <w:pPr>
        <w:suppressAutoHyphens/>
        <w:spacing w:line="600" w:lineRule="exact"/>
        <w:jc w:val="left"/>
        <w:rPr>
          <w:rFonts w:ascii="方正黑体_GBK" w:eastAsia="方正黑体_GBK" w:hAnsi="方正黑体_GBK" w:cs="方正黑体_GBK"/>
          <w:spacing w:val="-6"/>
          <w:sz w:val="32"/>
          <w:szCs w:val="32"/>
          <w:lang w:bidi="ar"/>
        </w:rPr>
      </w:pPr>
      <w:bookmarkStart w:id="0" w:name="_GoBack"/>
      <w:r w:rsidRPr="003B7BDB">
        <w:rPr>
          <w:rFonts w:ascii="方正黑体_GBK" w:eastAsia="方正黑体_GBK" w:hAnsi="方正黑体_GBK" w:cs="方正黑体_GBK" w:hint="eastAsia"/>
          <w:spacing w:val="-6"/>
          <w:sz w:val="32"/>
          <w:szCs w:val="32"/>
          <w:lang w:bidi="ar"/>
        </w:rPr>
        <w:t>附件5</w:t>
      </w:r>
    </w:p>
    <w:p w:rsidR="00575610" w:rsidRPr="003B7BDB" w:rsidRDefault="0057561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575610" w:rsidRPr="003B7BDB" w:rsidRDefault="009268D7">
      <w:pPr>
        <w:suppressAutoHyphens/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3B7BDB">
        <w:rPr>
          <w:rFonts w:ascii="方正小标宋_GBK" w:eastAsia="方正小标宋_GBK" w:hAnsi="方正仿宋_GBK" w:cs="方正仿宋_GBK" w:hint="eastAsia"/>
          <w:sz w:val="44"/>
          <w:szCs w:val="44"/>
        </w:rPr>
        <w:t>2023年中央农业生态资源保护资金</w:t>
      </w:r>
    </w:p>
    <w:p w:rsidR="00575610" w:rsidRPr="003B7BDB" w:rsidRDefault="009268D7">
      <w:pPr>
        <w:suppressAutoHyphens/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3B7BDB">
        <w:rPr>
          <w:rFonts w:ascii="方正小标宋_GBK" w:eastAsia="方正小标宋_GBK" w:hAnsi="方正仿宋_GBK" w:cs="方正仿宋_GBK" w:hint="eastAsia"/>
          <w:sz w:val="44"/>
          <w:szCs w:val="44"/>
        </w:rPr>
        <w:t>项目实施方案</w:t>
      </w:r>
    </w:p>
    <w:p w:rsidR="00575610" w:rsidRPr="003B7BDB" w:rsidRDefault="0057561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575610" w:rsidRPr="003B7BDB" w:rsidRDefault="009268D7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2023年中央农业生态资源保护资金主要用于地膜科学使用回收、农作物秸秆综合利用、渔业资源保护等方面支出，进行农业生态保护、农业资源养护利用等。</w:t>
      </w:r>
    </w:p>
    <w:p w:rsidR="00AC1802" w:rsidRPr="003B7BDB" w:rsidRDefault="00AC1802" w:rsidP="00AC1802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3B7BDB"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一、推进地膜科学使用回收</w:t>
      </w:r>
    </w:p>
    <w:p w:rsidR="00AC1802" w:rsidRPr="003B7BDB" w:rsidRDefault="00AC1802" w:rsidP="00AC1802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在万州、黔江等25个区县，以种植大户、农民专业合作社和农业企业为重点，因地制宜开展加厚高强度地膜推广，稳妥推进符合标准的全生物降解地膜使用。加强地膜使用质量监管，禁止使用不达标地膜。积极探索全生物降解地膜整区域采取集中采购等方式，保障地膜质量，降低使用成本。组织江津区、合川区、荣昌区、巫山县等4个区县开展地膜科学使用回收试验示范与绩效评价，评价不同地膜的农田适应性，分析地膜投入与作物产出效益，总结形成适合不同区域、不同作物的应用技术评价报告。依托供销合作社建立的农膜回收利用网络，对废旧地膜进行统一回收和利用，确保项目区地膜回收率达到83%以上。通过项目实施，建立村社、镇（街道）、区县三级地膜科学使用回收管理体系，构建地膜污染治理长效机制，有效提高地膜科学使用回收水平。</w:t>
      </w:r>
    </w:p>
    <w:p w:rsidR="00AC1802" w:rsidRPr="003B7BDB" w:rsidRDefault="00AC1802" w:rsidP="00AC1802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（联系人：生态处杨立，联系电话：89133048）</w:t>
      </w:r>
    </w:p>
    <w:p w:rsidR="00AC1802" w:rsidRPr="003B7BDB" w:rsidRDefault="00AC1802" w:rsidP="00AC1802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3B7BDB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二、促进农作物秸秆综合利用</w:t>
      </w:r>
    </w:p>
    <w:p w:rsidR="00AC1802" w:rsidRPr="003B7BDB" w:rsidRDefault="00AC1802" w:rsidP="00AC1802">
      <w:pPr>
        <w:spacing w:line="60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3B7BDB">
        <w:rPr>
          <w:rFonts w:ascii="Times New Roman" w:eastAsia="方正仿宋_GBK" w:hAnsi="Times New Roman" w:cs="Times New Roman"/>
          <w:sz w:val="32"/>
          <w:szCs w:val="32"/>
        </w:rPr>
        <w:t>具体方案见</w:t>
      </w:r>
      <w:r w:rsidRPr="003B7BDB">
        <w:rPr>
          <w:rFonts w:ascii="Times New Roman" w:eastAsia="方正仿宋_GBK" w:hAnsi="Times New Roman" w:cs="Times New Roman" w:hint="eastAsia"/>
          <w:sz w:val="32"/>
          <w:szCs w:val="32"/>
        </w:rPr>
        <w:t>《重庆市</w:t>
      </w:r>
      <w:r w:rsidRPr="003B7BD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3B7BDB">
        <w:rPr>
          <w:rFonts w:ascii="Times New Roman" w:eastAsia="方正仿宋_GBK" w:hAnsi="Times New Roman" w:cs="Times New Roman" w:hint="eastAsia"/>
          <w:sz w:val="32"/>
          <w:szCs w:val="32"/>
        </w:rPr>
        <w:t>年农作物秸秆综合利用实施方案的通知》（〔</w:t>
      </w:r>
      <w:r w:rsidRPr="003B7BD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3B7BDB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3B7BDB">
        <w:rPr>
          <w:rFonts w:ascii="Times New Roman" w:eastAsia="方正仿宋_GBK" w:hAnsi="Times New Roman" w:cs="Times New Roman"/>
          <w:sz w:val="32"/>
          <w:szCs w:val="32"/>
        </w:rPr>
        <w:t>-52</w:t>
      </w:r>
      <w:r w:rsidRPr="003B7BDB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575610" w:rsidRPr="003B7BDB" w:rsidRDefault="00AC1802" w:rsidP="00AC1802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（联系人：生态处杨立，联系电话：89133048）</w:t>
      </w:r>
    </w:p>
    <w:p w:rsidR="00575610" w:rsidRPr="003B7BDB" w:rsidRDefault="009268D7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3B7BDB"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三、开展渔业资源保护</w:t>
      </w:r>
    </w:p>
    <w:p w:rsidR="00F906DD" w:rsidRPr="003B7BDB" w:rsidRDefault="008D0630" w:rsidP="00F906DD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科学确定放流物种和数量。十年禁渔新形势下，突出增殖放流的生态功能，各区县要统筹考虑水生生物多样性、水域生态环境改善、放流物种适宜性等因素，适当增加长江流域珍贵、濒危水生生物放流数量，选择长江鲟、胭脂鱼、岩原鲤、齐口裂腹鱼等珍稀特有鱼类及鲢、鳙等滤食性鱼类。各区县具体放流物种的规格、数量参照《</w:t>
      </w:r>
      <w:r w:rsidRPr="003B7BDB">
        <w:rPr>
          <w:rFonts w:ascii="方正仿宋_GBK" w:eastAsia="方正仿宋_GBK" w:hAnsi="方正仿宋_GBK" w:cs="方正仿宋_GBK"/>
          <w:sz w:val="32"/>
          <w:szCs w:val="32"/>
        </w:rPr>
        <w:t>2023年重庆市天然水域水生生物增殖放流实施方案》（通知〔2023〕-26）。</w:t>
      </w:r>
    </w:p>
    <w:p w:rsidR="008D0630" w:rsidRPr="003B7BDB" w:rsidRDefault="00F906DD" w:rsidP="008D0630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中央财政补助资金主要用于补助购买苗种、暂养、运输、后期跟踪监测和效果评估等放流苗种支出，</w:t>
      </w:r>
      <w:r w:rsidRPr="003B7BDB">
        <w:rPr>
          <w:rFonts w:ascii="方正仿宋_GBK" w:eastAsia="方正仿宋_GBK" w:hAnsi="方正仿宋_GBK" w:cs="方正仿宋_GBK"/>
          <w:sz w:val="32"/>
          <w:szCs w:val="32"/>
        </w:rPr>
        <w:t>其中用于补贴购买苗种的支出不</w:t>
      </w: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少于</w:t>
      </w:r>
      <w:r w:rsidRPr="003B7BDB">
        <w:rPr>
          <w:rFonts w:ascii="方正仿宋_GBK" w:eastAsia="方正仿宋_GBK" w:hAnsi="方正仿宋_GBK" w:cs="方正仿宋_GBK"/>
          <w:sz w:val="32"/>
          <w:szCs w:val="32"/>
        </w:rPr>
        <w:t xml:space="preserve"> 90% 。</w:t>
      </w:r>
      <w:r w:rsidR="008D0630" w:rsidRPr="003B7BDB">
        <w:rPr>
          <w:rFonts w:ascii="方正仿宋_GBK" w:eastAsia="方正仿宋_GBK" w:hAnsi="方正仿宋_GBK" w:cs="方正仿宋_GBK" w:hint="eastAsia"/>
          <w:sz w:val="32"/>
          <w:szCs w:val="32"/>
        </w:rPr>
        <w:t>合理确定放流水域。要切实发挥增殖放流公益作用，重点支持在流域性大江大湖、界江界河以及资源衰退严重水域开展增殖放流。各区县具体放流的水域见《</w:t>
      </w:r>
      <w:r w:rsidR="008D0630" w:rsidRPr="003B7BDB">
        <w:rPr>
          <w:rFonts w:ascii="方正仿宋_GBK" w:eastAsia="方正仿宋_GBK" w:hAnsi="方正仿宋_GBK" w:cs="方正仿宋_GBK"/>
          <w:sz w:val="32"/>
          <w:szCs w:val="32"/>
        </w:rPr>
        <w:t>2023年重庆市天然水域水生生物增殖放流实施方案》（通知〔2023〕-26）。</w:t>
      </w:r>
    </w:p>
    <w:p w:rsidR="008D0630" w:rsidRPr="003B7BDB" w:rsidRDefault="008D0630" w:rsidP="008D0630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严禁放流不符合生态要求的水生生物。各区县用于增殖放流的水生生物必须是本地种，严禁放流外来种、杂交种、选育种及其他不符合生态要求的水生生物。同时，应遵循“哪里来哪里放”原则，确保种质纯正，避免跨流域放流导致生</w:t>
      </w: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态风险。在增殖放流工作实施前，要认真开展增殖放流适应性评价，在科学论证的基础上，确定增殖放流适宜水域、时间和方式等。</w:t>
      </w:r>
    </w:p>
    <w:p w:rsidR="008D0630" w:rsidRPr="003B7BDB" w:rsidRDefault="008D0630" w:rsidP="008D0630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做好增检验检疫和效果评估。市水产总站要认真开展检验检疫，提高放流水生生物质量；委托第三方开展标志放流、跟踪监测和社会调查等效果评价，确保增殖放流的实施效果。各区县要加强放流过程执法监管，积极配合开展放流效果监测评估，多渠道开展增殖放流相关科普宣传活动。</w:t>
      </w:r>
    </w:p>
    <w:p w:rsidR="00575610" w:rsidRPr="003B7BDB" w:rsidRDefault="008D0630" w:rsidP="008D0630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（联系人：许成帅，联系电话：</w:t>
      </w:r>
      <w:r w:rsidRPr="003B7BDB">
        <w:rPr>
          <w:rFonts w:ascii="方正仿宋_GBK" w:eastAsia="方正仿宋_GBK" w:hAnsi="方正仿宋_GBK" w:cs="方正仿宋_GBK"/>
          <w:sz w:val="32"/>
          <w:szCs w:val="32"/>
        </w:rPr>
        <w:t>89133820）</w:t>
      </w:r>
    </w:p>
    <w:p w:rsidR="00F35D6B" w:rsidRPr="003B7BDB" w:rsidRDefault="00F35D6B" w:rsidP="00F35D6B">
      <w:pPr>
        <w:suppressAutoHyphens/>
        <w:spacing w:line="600" w:lineRule="exact"/>
        <w:ind w:firstLineChars="200" w:firstLine="640"/>
        <w:rPr>
          <w:rFonts w:ascii="方正黑体_GBK" w:eastAsia="方正黑体_GBK" w:hAnsi="Calibri" w:cs="Times New Roman"/>
          <w:sz w:val="32"/>
          <w:szCs w:val="32"/>
        </w:rPr>
      </w:pPr>
      <w:r w:rsidRPr="003B7BDB">
        <w:rPr>
          <w:rFonts w:ascii="方正黑体_GBK" w:eastAsia="方正黑体_GBK" w:hAnsi="Calibri" w:cs="Times New Roman" w:hint="eastAsia"/>
          <w:sz w:val="32"/>
          <w:szCs w:val="32"/>
        </w:rPr>
        <w:t>四</w:t>
      </w:r>
      <w:r w:rsidRPr="003B7BDB">
        <w:rPr>
          <w:rFonts w:ascii="方正黑体_GBK" w:eastAsia="方正黑体_GBK" w:hAnsi="Calibri" w:cs="Times New Roman"/>
          <w:sz w:val="32"/>
          <w:szCs w:val="32"/>
        </w:rPr>
        <w:t>、项目任务清单</w:t>
      </w:r>
    </w:p>
    <w:p w:rsidR="00F35D6B" w:rsidRPr="003B7BDB" w:rsidRDefault="00F35D6B" w:rsidP="00F35D6B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 w:rsidRPr="003B7BDB">
        <w:rPr>
          <w:rFonts w:ascii="方正仿宋_GBK" w:eastAsia="方正仿宋_GBK" w:hAnsi="方正仿宋_GBK" w:cs="方正仿宋_GBK"/>
          <w:sz w:val="32"/>
          <w:szCs w:val="32"/>
        </w:rPr>
        <w:t>项目任务清单详见附</w:t>
      </w:r>
      <w:r w:rsidRPr="003B7BDB"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  <w:r w:rsidRPr="003B7BDB">
        <w:rPr>
          <w:rFonts w:ascii="方正仿宋_GBK" w:eastAsia="方正仿宋_GBK" w:hAnsi="方正仿宋_GBK" w:cs="方正仿宋_GBK"/>
          <w:sz w:val="32"/>
          <w:szCs w:val="32"/>
        </w:rPr>
        <w:t>5</w:t>
      </w:r>
    </w:p>
    <w:bookmarkEnd w:id="0"/>
    <w:p w:rsidR="00F35D6B" w:rsidRPr="003B7BDB" w:rsidRDefault="00F35D6B" w:rsidP="008D0630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</w:p>
    <w:sectPr w:rsidR="00F35D6B" w:rsidRPr="003B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AB" w:rsidRDefault="007B16AB" w:rsidP="00AC1802">
      <w:r>
        <w:separator/>
      </w:r>
    </w:p>
  </w:endnote>
  <w:endnote w:type="continuationSeparator" w:id="0">
    <w:p w:rsidR="007B16AB" w:rsidRDefault="007B16AB" w:rsidP="00AC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AB" w:rsidRDefault="007B16AB" w:rsidP="00AC1802">
      <w:r>
        <w:separator/>
      </w:r>
    </w:p>
  </w:footnote>
  <w:footnote w:type="continuationSeparator" w:id="0">
    <w:p w:rsidR="007B16AB" w:rsidRDefault="007B16AB" w:rsidP="00AC1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D1"/>
    <w:rsid w:val="EBFF5553"/>
    <w:rsid w:val="EEBFCBE1"/>
    <w:rsid w:val="000244F5"/>
    <w:rsid w:val="000D7274"/>
    <w:rsid w:val="00154BBA"/>
    <w:rsid w:val="003B7BDB"/>
    <w:rsid w:val="003C4C3B"/>
    <w:rsid w:val="00575610"/>
    <w:rsid w:val="005F47F2"/>
    <w:rsid w:val="007B16AB"/>
    <w:rsid w:val="00823573"/>
    <w:rsid w:val="0088429F"/>
    <w:rsid w:val="00896E71"/>
    <w:rsid w:val="008D0630"/>
    <w:rsid w:val="009268D7"/>
    <w:rsid w:val="009E433E"/>
    <w:rsid w:val="009F01D1"/>
    <w:rsid w:val="00AC1802"/>
    <w:rsid w:val="00AE30EF"/>
    <w:rsid w:val="00BE3D0F"/>
    <w:rsid w:val="00F35D6B"/>
    <w:rsid w:val="00F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B253D-0734-4288-B8A4-156ECEC1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C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180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1802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244F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44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189</Words>
  <Characters>1083</Characters>
  <Application>Microsoft Office Word</Application>
  <DocSecurity>0</DocSecurity>
  <Lines>9</Lines>
  <Paragraphs>2</Paragraphs>
  <ScaleCrop>false</ScaleCrop>
  <Company>China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2023-06-09T21:15:00Z</dcterms:created>
  <dcterms:modified xsi:type="dcterms:W3CDTF">2023-07-04T09:39:00Z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