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288D1F">
      <w:pPr>
        <w:jc w:val="left"/>
        <w:rPr>
          <w:rFonts w:hint="eastAsia" w:asciiTheme="minorEastAsia" w:hAnsiTheme="minorEastAsia" w:eastAsiaTheme="minorEastAsia" w:cstheme="minorEastAsia"/>
          <w:color w:val="auto"/>
          <w:highlight w:val="none"/>
        </w:rPr>
      </w:pPr>
    </w:p>
    <w:p w14:paraId="11BAB99A">
      <w:pPr>
        <w:rPr>
          <w:rFonts w:hint="eastAsia" w:asciiTheme="minorEastAsia" w:hAnsiTheme="minorEastAsia" w:eastAsiaTheme="minorEastAsia" w:cstheme="minorEastAsia"/>
          <w:color w:val="auto"/>
          <w:highlight w:val="none"/>
        </w:rPr>
      </w:pPr>
    </w:p>
    <w:p w14:paraId="436F0C88">
      <w:pPr>
        <w:spacing w:line="1600" w:lineRule="exact"/>
        <w:jc w:val="center"/>
        <w:outlineLvl w:val="0"/>
        <w:rPr>
          <w:rFonts w:hint="eastAsia" w:asciiTheme="minorEastAsia" w:hAnsiTheme="minorEastAsia" w:eastAsiaTheme="minorEastAsia" w:cstheme="minorEastAsia"/>
          <w:color w:val="auto"/>
          <w:sz w:val="84"/>
          <w:szCs w:val="84"/>
          <w:highlight w:val="none"/>
        </w:rPr>
      </w:pPr>
    </w:p>
    <w:p w14:paraId="1640911B">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竞争性磋商文件</w:t>
      </w:r>
    </w:p>
    <w:p w14:paraId="460B682A">
      <w:pPr>
        <w:pStyle w:val="5"/>
        <w:rPr>
          <w:rFonts w:hint="eastAsia" w:asciiTheme="minorEastAsia" w:hAnsiTheme="minorEastAsia" w:eastAsiaTheme="minorEastAsia" w:cstheme="minorEastAsia"/>
          <w:color w:val="auto"/>
          <w:highlight w:val="none"/>
        </w:rPr>
      </w:pPr>
    </w:p>
    <w:p w14:paraId="3EA7E54E">
      <w:pPr>
        <w:spacing w:line="700" w:lineRule="exact"/>
        <w:jc w:val="center"/>
        <w:rPr>
          <w:rFonts w:hint="eastAsia" w:asciiTheme="minorEastAsia" w:hAnsiTheme="minorEastAsia" w:eastAsiaTheme="minorEastAsia" w:cstheme="minorEastAsia"/>
          <w:color w:val="auto"/>
          <w:sz w:val="32"/>
          <w:highlight w:val="none"/>
        </w:rPr>
      </w:pPr>
    </w:p>
    <w:p w14:paraId="4A14B734">
      <w:pPr>
        <w:pStyle w:val="5"/>
        <w:rPr>
          <w:color w:val="auto"/>
          <w:highlight w:val="none"/>
        </w:rPr>
      </w:pPr>
    </w:p>
    <w:p w14:paraId="17C525E0">
      <w:pPr>
        <w:spacing w:line="500" w:lineRule="exact"/>
        <w:ind w:firstLine="720" w:firstLineChars="2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lang w:eastAsia="zh-CN"/>
        </w:rPr>
        <w:t>HRZ25C102</w:t>
      </w:r>
      <w:r>
        <w:rPr>
          <w:rFonts w:hint="eastAsia" w:asciiTheme="minorEastAsia" w:hAnsiTheme="minorEastAsia" w:eastAsiaTheme="minorEastAsia" w:cstheme="minorEastAsia"/>
          <w:color w:val="auto"/>
          <w:sz w:val="36"/>
          <w:szCs w:val="36"/>
          <w:highlight w:val="none"/>
        </w:rPr>
        <w:t xml:space="preserve"> </w:t>
      </w:r>
    </w:p>
    <w:p w14:paraId="014AD001">
      <w:pPr>
        <w:spacing w:line="500" w:lineRule="exact"/>
        <w:jc w:val="left"/>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 xml:space="preserve">    项目名称：</w:t>
      </w:r>
      <w:r>
        <w:rPr>
          <w:rFonts w:hint="eastAsia" w:asciiTheme="minorEastAsia" w:hAnsiTheme="minorEastAsia" w:eastAsiaTheme="minorEastAsia" w:cstheme="minorEastAsia"/>
          <w:color w:val="auto"/>
          <w:sz w:val="36"/>
          <w:szCs w:val="36"/>
          <w:highlight w:val="none"/>
          <w:lang w:eastAsia="zh-CN"/>
        </w:rPr>
        <w:t>“五个振兴”宣传专题片制作服务</w:t>
      </w:r>
    </w:p>
    <w:p w14:paraId="2E1A70BC">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4763A2E1">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546C7B20">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60BC53A3">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33E18C53">
      <w:pPr>
        <w:spacing w:line="700" w:lineRule="exact"/>
        <w:jc w:val="center"/>
        <w:rPr>
          <w:rFonts w:hint="eastAsia" w:asciiTheme="minorEastAsia" w:hAnsiTheme="minorEastAsia" w:eastAsiaTheme="minorEastAsia" w:cstheme="minorEastAsia"/>
          <w:b/>
          <w:color w:val="auto"/>
          <w:sz w:val="36"/>
          <w:szCs w:val="36"/>
          <w:highlight w:val="none"/>
        </w:rPr>
      </w:pPr>
    </w:p>
    <w:p w14:paraId="6ED12C82">
      <w:pPr>
        <w:spacing w:line="500" w:lineRule="exact"/>
        <w:ind w:firstLine="2160" w:firstLineChars="6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采购人：</w:t>
      </w:r>
      <w:r>
        <w:rPr>
          <w:rFonts w:hint="eastAsia" w:asciiTheme="minorEastAsia" w:hAnsiTheme="minorEastAsia" w:eastAsiaTheme="minorEastAsia" w:cstheme="minorEastAsia"/>
          <w:color w:val="auto"/>
          <w:sz w:val="36"/>
          <w:szCs w:val="36"/>
          <w:highlight w:val="none"/>
          <w:lang w:eastAsia="zh-CN"/>
        </w:rPr>
        <w:t>重庆市农业农村委员会</w:t>
      </w:r>
      <w:r>
        <w:rPr>
          <w:rFonts w:hint="eastAsia" w:asciiTheme="minorEastAsia" w:hAnsiTheme="minorEastAsia" w:eastAsiaTheme="minorEastAsia" w:cstheme="minorEastAsia"/>
          <w:color w:val="auto"/>
          <w:sz w:val="36"/>
          <w:szCs w:val="36"/>
          <w:highlight w:val="none"/>
        </w:rPr>
        <w:t xml:space="preserve"> </w:t>
      </w:r>
    </w:p>
    <w:p w14:paraId="69A567B1">
      <w:pPr>
        <w:spacing w:line="500" w:lineRule="exact"/>
        <w:ind w:firstLine="1080" w:firstLineChars="3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采购代理机构：重庆宏仁招标代理有限公司</w:t>
      </w:r>
    </w:p>
    <w:p w14:paraId="0987E3DF">
      <w:pPr>
        <w:spacing w:line="500" w:lineRule="exact"/>
        <w:jc w:val="center"/>
        <w:outlineLvl w:val="0"/>
        <w:rPr>
          <w:rFonts w:hint="eastAsia" w:asciiTheme="minorEastAsia" w:hAnsiTheme="minorEastAsia" w:eastAsiaTheme="minorEastAsia" w:cstheme="minorEastAsia"/>
          <w:color w:val="auto"/>
          <w:sz w:val="36"/>
          <w:szCs w:val="36"/>
          <w:highlight w:val="none"/>
        </w:rPr>
      </w:pPr>
    </w:p>
    <w:p w14:paraId="3D3D8B13">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二〇二五年</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月</w:t>
      </w:r>
    </w:p>
    <w:p w14:paraId="7D0D200E">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14:paraId="7B93B636">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2C3B02BA">
      <w:pPr>
        <w:pStyle w:val="45"/>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_Toc21630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F1A1918">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 竞争性磋商内容</w:t>
      </w:r>
      <w:r>
        <w:rPr>
          <w:color w:val="auto"/>
          <w:highlight w:val="none"/>
        </w:rPr>
        <w:tab/>
      </w:r>
      <w:r>
        <w:rPr>
          <w:color w:val="auto"/>
          <w:highlight w:val="none"/>
        </w:rPr>
        <w:fldChar w:fldCharType="begin"/>
      </w:r>
      <w:r>
        <w:rPr>
          <w:color w:val="auto"/>
          <w:highlight w:val="none"/>
        </w:rPr>
        <w:instrText xml:space="preserve"> PAGEREF _Toc4605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AD1B447">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_Toc13401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_Toc13401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41EF796">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三、磋商有关说明</w:t>
      </w:r>
      <w:r>
        <w:rPr>
          <w:color w:val="auto"/>
          <w:highlight w:val="none"/>
        </w:rPr>
        <w:tab/>
      </w:r>
      <w:r>
        <w:rPr>
          <w:color w:val="auto"/>
          <w:highlight w:val="none"/>
        </w:rPr>
        <w:fldChar w:fldCharType="begin"/>
      </w:r>
      <w:r>
        <w:rPr>
          <w:color w:val="auto"/>
          <w:highlight w:val="none"/>
        </w:rPr>
        <w:instrText xml:space="preserve"> PAGEREF _Toc39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D5DE963">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_Toc31178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四、保证金</w:t>
      </w:r>
      <w:r>
        <w:rPr>
          <w:color w:val="auto"/>
          <w:highlight w:val="none"/>
        </w:rPr>
        <w:tab/>
      </w:r>
      <w:r>
        <w:rPr>
          <w:color w:val="auto"/>
          <w:highlight w:val="none"/>
        </w:rPr>
        <w:fldChar w:fldCharType="begin"/>
      </w:r>
      <w:r>
        <w:rPr>
          <w:color w:val="auto"/>
          <w:highlight w:val="none"/>
        </w:rPr>
        <w:instrText xml:space="preserve"> PAGEREF _Toc31178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BFE4C31">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_Toc21681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0CB7DC3">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_Toc4030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六、联系方式</w:t>
      </w:r>
      <w:r>
        <w:rPr>
          <w:color w:val="auto"/>
          <w:highlight w:val="none"/>
        </w:rPr>
        <w:tab/>
      </w:r>
      <w:r>
        <w:rPr>
          <w:color w:val="auto"/>
          <w:highlight w:val="none"/>
        </w:rPr>
        <w:fldChar w:fldCharType="begin"/>
      </w:r>
      <w:r>
        <w:rPr>
          <w:color w:val="auto"/>
          <w:highlight w:val="none"/>
        </w:rPr>
        <w:instrText xml:space="preserve"> PAGEREF _Toc4030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80EB609">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_Toc20924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_Toc20924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5496C0B">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_Toc28413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一、项目</w:t>
      </w:r>
      <w:r>
        <w:rPr>
          <w:rFonts w:hint="eastAsia" w:asciiTheme="minorEastAsia" w:hAnsiTheme="minorEastAsia" w:eastAsiaTheme="minorEastAsia" w:cstheme="minorEastAsia"/>
          <w:color w:val="auto"/>
          <w:highlight w:val="none"/>
          <w:lang w:val="en-US" w:eastAsia="zh-CN"/>
        </w:rPr>
        <w:t>概况</w:t>
      </w:r>
      <w:r>
        <w:rPr>
          <w:color w:val="auto"/>
          <w:highlight w:val="none"/>
        </w:rPr>
        <w:tab/>
      </w:r>
      <w:r>
        <w:rPr>
          <w:color w:val="auto"/>
          <w:highlight w:val="none"/>
        </w:rPr>
        <w:fldChar w:fldCharType="begin"/>
      </w:r>
      <w:r>
        <w:rPr>
          <w:color w:val="auto"/>
          <w:highlight w:val="none"/>
        </w:rPr>
        <w:instrText xml:space="preserve"> PAGEREF _Toc28413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6887282">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_Toc30589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val="en-US" w:eastAsia="zh-CN"/>
        </w:rPr>
        <w:t>项目内容及要求</w:t>
      </w:r>
      <w:r>
        <w:rPr>
          <w:color w:val="auto"/>
          <w:highlight w:val="none"/>
        </w:rPr>
        <w:tab/>
      </w:r>
      <w:r>
        <w:rPr>
          <w:color w:val="auto"/>
          <w:highlight w:val="none"/>
        </w:rPr>
        <w:fldChar w:fldCharType="begin"/>
      </w:r>
      <w:r>
        <w:rPr>
          <w:color w:val="auto"/>
          <w:highlight w:val="none"/>
        </w:rPr>
        <w:instrText xml:space="preserve"> PAGEREF _Toc30589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687B933">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_Toc24419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三、技术标准</w:t>
      </w:r>
      <w:r>
        <w:rPr>
          <w:color w:val="auto"/>
          <w:highlight w:val="none"/>
        </w:rPr>
        <w:tab/>
      </w:r>
      <w:r>
        <w:rPr>
          <w:color w:val="auto"/>
          <w:highlight w:val="none"/>
        </w:rPr>
        <w:fldChar w:fldCharType="begin"/>
      </w:r>
      <w:r>
        <w:rPr>
          <w:color w:val="auto"/>
          <w:highlight w:val="none"/>
        </w:rPr>
        <w:instrText xml:space="preserve"> PAGEREF _Toc24419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41117F0">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_Toc31979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_Toc31979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7FEBF43">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_Toc22616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一、实施时间、地点及验收方式</w:t>
      </w:r>
      <w:r>
        <w:rPr>
          <w:color w:val="auto"/>
          <w:highlight w:val="none"/>
        </w:rPr>
        <w:tab/>
      </w:r>
      <w:r>
        <w:rPr>
          <w:color w:val="auto"/>
          <w:highlight w:val="none"/>
        </w:rPr>
        <w:fldChar w:fldCharType="begin"/>
      </w:r>
      <w:r>
        <w:rPr>
          <w:color w:val="auto"/>
          <w:highlight w:val="none"/>
        </w:rPr>
        <w:instrText xml:space="preserve"> PAGEREF _Toc22616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1D040B7">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_Toc20212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_Toc20212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E64D88C">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_Toc8616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三、付款方式</w:t>
      </w:r>
      <w:r>
        <w:rPr>
          <w:color w:val="auto"/>
          <w:highlight w:val="none"/>
        </w:rPr>
        <w:tab/>
      </w:r>
      <w:r>
        <w:rPr>
          <w:color w:val="auto"/>
          <w:highlight w:val="none"/>
        </w:rPr>
        <w:fldChar w:fldCharType="begin"/>
      </w:r>
      <w:r>
        <w:rPr>
          <w:color w:val="auto"/>
          <w:highlight w:val="none"/>
        </w:rPr>
        <w:instrText xml:space="preserve"> PAGEREF _Toc8616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F701474">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_Toc21090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四、服务质量保障</w:t>
      </w:r>
      <w:r>
        <w:rPr>
          <w:color w:val="auto"/>
          <w:highlight w:val="none"/>
        </w:rPr>
        <w:tab/>
      </w:r>
      <w:r>
        <w:rPr>
          <w:color w:val="auto"/>
          <w:highlight w:val="none"/>
        </w:rPr>
        <w:fldChar w:fldCharType="begin"/>
      </w:r>
      <w:r>
        <w:rPr>
          <w:color w:val="auto"/>
          <w:highlight w:val="none"/>
        </w:rPr>
        <w:instrText xml:space="preserve"> PAGEREF _Toc21090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2BDAF64">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_Toc8289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_Toc8289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E96FD93">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_Toc17873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六、其他</w:t>
      </w:r>
      <w:r>
        <w:rPr>
          <w:color w:val="auto"/>
          <w:highlight w:val="none"/>
        </w:rPr>
        <w:tab/>
      </w:r>
      <w:r>
        <w:rPr>
          <w:color w:val="auto"/>
          <w:highlight w:val="none"/>
        </w:rPr>
        <w:fldChar w:fldCharType="begin"/>
      </w:r>
      <w:r>
        <w:rPr>
          <w:color w:val="auto"/>
          <w:highlight w:val="none"/>
        </w:rPr>
        <w:instrText xml:space="preserve"> PAGEREF _Toc17873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6BF2F0C">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_Toc22375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5696D91">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_Toc19557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_Toc19557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CFA57E1">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_Toc8665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_Toc8665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E10FAD">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_Toc12067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_Toc12067 \h </w:instrText>
      </w:r>
      <w:r>
        <w:rPr>
          <w:color w:val="auto"/>
          <w:highlight w:val="none"/>
        </w:rPr>
        <w:fldChar w:fldCharType="separate"/>
      </w:r>
      <w:r>
        <w:rPr>
          <w:color w:val="auto"/>
          <w:highlight w:val="none"/>
        </w:rPr>
        <w:t>- 11 -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71912B0">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_Toc7556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_Toc7556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A1DF311">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_Toc4630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CAA3FD5">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_Toc11759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_Toc11759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5E14850">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_Toc941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63C9B8">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_Toc1222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_Toc1222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F3687BA">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_Toc16371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DC33189">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_Toc17075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_Toc17075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7628805">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_Toc3724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_Toc3724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225D80F">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_Toc7141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F882EAE">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_Toc6560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_Toc6560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8DAB075">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_Toc1485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第六篇  响应文件编制要求</w:t>
      </w:r>
      <w:r>
        <w:rPr>
          <w:color w:val="auto"/>
          <w:highlight w:val="none"/>
        </w:rPr>
        <w:tab/>
      </w:r>
      <w:r>
        <w:rPr>
          <w:color w:val="auto"/>
          <w:highlight w:val="none"/>
        </w:rPr>
        <w:fldChar w:fldCharType="begin"/>
      </w:r>
      <w:r>
        <w:rPr>
          <w:color w:val="auto"/>
          <w:highlight w:val="none"/>
        </w:rPr>
        <w:instrText xml:space="preserve"> PAGEREF _Toc1485 \h </w:instrText>
      </w:r>
      <w:r>
        <w:rPr>
          <w:color w:val="auto"/>
          <w:highlight w:val="none"/>
        </w:rPr>
        <w:fldChar w:fldCharType="separate"/>
      </w:r>
      <w:r>
        <w:rPr>
          <w:color w:val="auto"/>
          <w:highlight w:val="none"/>
        </w:rPr>
        <w:t>- 17 -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B9CC897">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_Toc19738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_Toc19738 \h </w:instrText>
      </w:r>
      <w:r>
        <w:rPr>
          <w:color w:val="auto"/>
          <w:highlight w:val="none"/>
        </w:rPr>
        <w:fldChar w:fldCharType="separate"/>
      </w:r>
      <w:r>
        <w:rPr>
          <w:color w:val="auto"/>
          <w:highlight w:val="none"/>
        </w:rPr>
        <w:t>- 18 -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548FBC4">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_Toc24548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_Toc24548 \h </w:instrText>
      </w:r>
      <w:r>
        <w:rPr>
          <w:color w:val="auto"/>
          <w:highlight w:val="none"/>
        </w:rPr>
        <w:fldChar w:fldCharType="separate"/>
      </w:r>
      <w:r>
        <w:rPr>
          <w:color w:val="auto"/>
          <w:highlight w:val="none"/>
        </w:rPr>
        <w:t>- 20 -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BEA0B6D">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_Toc2279 \h </w:instrText>
      </w:r>
      <w:r>
        <w:rPr>
          <w:color w:val="auto"/>
          <w:highlight w:val="none"/>
        </w:rPr>
        <w:fldChar w:fldCharType="separate"/>
      </w:r>
      <w:r>
        <w:rPr>
          <w:color w:val="auto"/>
          <w:highlight w:val="none"/>
        </w:rPr>
        <w:t>- 23 -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9D05290">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_Toc22383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- 25 -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1690AB1">
      <w:pPr>
        <w:pStyle w:val="45"/>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_Toc1555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_Toc1555 \h </w:instrText>
      </w:r>
      <w:r>
        <w:rPr>
          <w:color w:val="auto"/>
          <w:highlight w:val="none"/>
        </w:rPr>
        <w:fldChar w:fldCharType="separate"/>
      </w:r>
      <w:r>
        <w:rPr>
          <w:color w:val="auto"/>
          <w:highlight w:val="none"/>
        </w:rPr>
        <w:t>- 30 -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6D4FF0A">
      <w:pPr>
        <w:pStyle w:val="45"/>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6449168C">
      <w:pPr>
        <w:pStyle w:val="4"/>
        <w:spacing w:line="360" w:lineRule="auto"/>
        <w:jc w:val="center"/>
        <w:rPr>
          <w:rFonts w:hint="eastAsia" w:asciiTheme="minorEastAsia" w:hAnsiTheme="minorEastAsia" w:eastAsiaTheme="minorEastAsia" w:cstheme="minorEastAsia"/>
          <w:bCs/>
          <w:color w:val="auto"/>
          <w:szCs w:val="30"/>
          <w:highlight w:val="none"/>
        </w:rPr>
      </w:pPr>
      <w:bookmarkStart w:id="0" w:name="_Toc12789052"/>
      <w:bookmarkEnd w:id="0"/>
      <w:bookmarkStart w:id="1" w:name="_Toc106030870"/>
      <w:bookmarkEnd w:id="1"/>
      <w:bookmarkStart w:id="2" w:name="_Toc11641050"/>
      <w:bookmarkEnd w:id="2"/>
      <w:bookmarkStart w:id="3" w:name="_Toc7314"/>
      <w:bookmarkEnd w:id="3"/>
      <w:bookmarkStart w:id="4" w:name="_Toc76462316"/>
      <w:bookmarkEnd w:id="4"/>
      <w:bookmarkStart w:id="5" w:name="_Toc21630"/>
      <w:r>
        <w:rPr>
          <w:rFonts w:hint="eastAsia" w:asciiTheme="minorEastAsia" w:hAnsiTheme="minorEastAsia" w:eastAsiaTheme="minorEastAsia" w:cstheme="minorEastAsia"/>
          <w:bCs/>
          <w:color w:val="auto"/>
          <w:sz w:val="36"/>
          <w:szCs w:val="30"/>
          <w:highlight w:val="none"/>
        </w:rPr>
        <w:t>第一篇  采购邀请书</w:t>
      </w:r>
      <w:bookmarkEnd w:id="5"/>
    </w:p>
    <w:p w14:paraId="62F2D2B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重庆宏仁招标代理有限公司（以下简称：采购代理机构）接受</w:t>
      </w:r>
      <w:r>
        <w:rPr>
          <w:rFonts w:hint="eastAsia" w:asciiTheme="minorEastAsia" w:hAnsiTheme="minorEastAsia" w:eastAsiaTheme="minorEastAsia" w:cstheme="minorEastAsia"/>
          <w:color w:val="auto"/>
          <w:sz w:val="24"/>
          <w:szCs w:val="24"/>
          <w:highlight w:val="none"/>
          <w:lang w:eastAsia="zh-CN"/>
        </w:rPr>
        <w:t>重庆市农业农村委员会</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b/>
          <w:bCs/>
          <w:color w:val="auto"/>
          <w:sz w:val="24"/>
          <w:szCs w:val="24"/>
          <w:highlight w:val="none"/>
          <w:u w:val="single"/>
          <w:lang w:eastAsia="zh-CN"/>
        </w:rPr>
        <w:t>“五个振兴”宣传专题片制作服务</w:t>
      </w:r>
      <w:r>
        <w:rPr>
          <w:rFonts w:hint="eastAsia" w:asciiTheme="minorEastAsia" w:hAnsiTheme="minorEastAsia" w:eastAsiaTheme="minorEastAsia" w:cstheme="minorEastAsia"/>
          <w:b/>
          <w:bCs/>
          <w:color w:val="auto"/>
          <w:sz w:val="24"/>
          <w:szCs w:val="24"/>
          <w:highlight w:val="none"/>
          <w:u w:val="single"/>
        </w:rPr>
        <w:t>项目</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HRZ25C102</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1889EEB4">
      <w:pPr>
        <w:pStyle w:val="4"/>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 w:name="_Toc313893526"/>
      <w:bookmarkEnd w:id="6"/>
      <w:bookmarkStart w:id="7" w:name="_Toc106030871"/>
      <w:bookmarkEnd w:id="7"/>
      <w:bookmarkStart w:id="8" w:name="_Toc317775175"/>
      <w:bookmarkEnd w:id="8"/>
      <w:bookmarkStart w:id="9" w:name="_Toc111"/>
      <w:bookmarkEnd w:id="9"/>
      <w:bookmarkStart w:id="10" w:name="_Toc76462317"/>
      <w:bookmarkEnd w:id="10"/>
      <w:bookmarkStart w:id="11" w:name="_Toc4605"/>
      <w:r>
        <w:rPr>
          <w:rFonts w:hint="eastAsia" w:asciiTheme="minorEastAsia" w:hAnsiTheme="minorEastAsia" w:eastAsiaTheme="minorEastAsia" w:cstheme="minorEastAsia"/>
          <w:color w:val="auto"/>
          <w:sz w:val="24"/>
          <w:highlight w:val="none"/>
        </w:rPr>
        <w:t>竞争性磋商内容</w:t>
      </w:r>
      <w:bookmarkEnd w:id="11"/>
    </w:p>
    <w:tbl>
      <w:tblPr>
        <w:tblStyle w:val="57"/>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346"/>
        <w:gridCol w:w="2146"/>
        <w:gridCol w:w="1825"/>
      </w:tblGrid>
      <w:tr w14:paraId="3BBA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14:paraId="7E97226A">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2346" w:type="dxa"/>
            <w:vAlign w:val="center"/>
          </w:tcPr>
          <w:p w14:paraId="0710311A">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最高限价（万元）</w:t>
            </w:r>
          </w:p>
        </w:tc>
        <w:tc>
          <w:tcPr>
            <w:tcW w:w="2146" w:type="dxa"/>
            <w:vAlign w:val="center"/>
          </w:tcPr>
          <w:p w14:paraId="133857D6">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磋商保证金（元）</w:t>
            </w:r>
          </w:p>
        </w:tc>
        <w:tc>
          <w:tcPr>
            <w:tcW w:w="1825" w:type="dxa"/>
            <w:vAlign w:val="center"/>
          </w:tcPr>
          <w:p w14:paraId="738E78B7">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成交供应商数量（名）</w:t>
            </w:r>
          </w:p>
        </w:tc>
      </w:tr>
      <w:tr w14:paraId="7E25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542" w:type="dxa"/>
            <w:vAlign w:val="center"/>
          </w:tcPr>
          <w:p w14:paraId="6B60B329">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“五个振兴”宣传专题片制作服务</w:t>
            </w:r>
          </w:p>
        </w:tc>
        <w:tc>
          <w:tcPr>
            <w:tcW w:w="2346" w:type="dxa"/>
            <w:vAlign w:val="center"/>
          </w:tcPr>
          <w:p w14:paraId="77C62EDE">
            <w:pPr>
              <w:pStyle w:val="23"/>
              <w:spacing w:line="240" w:lineRule="auto"/>
              <w:ind w:left="0"/>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2146" w:type="dxa"/>
            <w:vAlign w:val="center"/>
          </w:tcPr>
          <w:p w14:paraId="0900E7F9">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00</w:t>
            </w:r>
          </w:p>
        </w:tc>
        <w:tc>
          <w:tcPr>
            <w:tcW w:w="1825" w:type="dxa"/>
            <w:vAlign w:val="center"/>
          </w:tcPr>
          <w:p w14:paraId="02CFEF89">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bl>
    <w:p w14:paraId="7001E8A7">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 w:name="_Toc106030872"/>
      <w:bookmarkEnd w:id="12"/>
      <w:bookmarkStart w:id="13" w:name="_Toc76462318"/>
      <w:bookmarkEnd w:id="13"/>
      <w:bookmarkStart w:id="14" w:name="_Toc21035"/>
      <w:bookmarkEnd w:id="14"/>
      <w:bookmarkStart w:id="15" w:name="_Toc13401"/>
      <w:bookmarkStart w:id="16" w:name="_Toc373860293"/>
      <w:bookmarkStart w:id="17" w:name="_Toc317775178"/>
      <w:r>
        <w:rPr>
          <w:rFonts w:hint="eastAsia" w:asciiTheme="minorEastAsia" w:hAnsiTheme="minorEastAsia" w:eastAsiaTheme="minorEastAsia" w:cstheme="minorEastAsia"/>
          <w:color w:val="auto"/>
          <w:sz w:val="24"/>
          <w:highlight w:val="none"/>
        </w:rPr>
        <w:t>二、供应商资格条件</w:t>
      </w:r>
      <w:bookmarkEnd w:id="15"/>
    </w:p>
    <w:p w14:paraId="144736E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（一）基本资格条件</w:t>
      </w:r>
    </w:p>
    <w:p w14:paraId="0B11BC2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426B9FD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35DF26F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4CE685E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42AAF2C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w:t>
      </w:r>
    </w:p>
    <w:p w14:paraId="332FFD8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531D0F7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（二）特定资格条件：</w:t>
      </w:r>
      <w:r>
        <w:rPr>
          <w:rFonts w:hint="eastAsia" w:asciiTheme="minorEastAsia" w:hAnsiTheme="minorEastAsia" w:eastAsiaTheme="minorEastAsia" w:cstheme="minorEastAsia"/>
          <w:color w:val="auto"/>
          <w:sz w:val="24"/>
          <w:szCs w:val="24"/>
          <w:highlight w:val="none"/>
          <w:u w:val="single"/>
        </w:rPr>
        <w:t>无</w:t>
      </w:r>
      <w:r>
        <w:rPr>
          <w:rFonts w:hint="eastAsia" w:asciiTheme="minorEastAsia" w:hAnsiTheme="minorEastAsia" w:eastAsiaTheme="minorEastAsia" w:cstheme="minorEastAsia"/>
          <w:color w:val="auto"/>
          <w:sz w:val="24"/>
          <w:szCs w:val="24"/>
          <w:highlight w:val="none"/>
        </w:rPr>
        <w:t>。</w:t>
      </w:r>
    </w:p>
    <w:bookmarkEnd w:id="16"/>
    <w:p w14:paraId="1CE6F44A">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 w:name="_Toc106030874"/>
      <w:bookmarkEnd w:id="18"/>
      <w:bookmarkStart w:id="19" w:name="_Toc76462320"/>
      <w:bookmarkEnd w:id="19"/>
      <w:bookmarkStart w:id="20" w:name="_Toc24313"/>
      <w:bookmarkEnd w:id="20"/>
      <w:bookmarkStart w:id="21" w:name="_Toc39"/>
      <w:r>
        <w:rPr>
          <w:rFonts w:hint="eastAsia" w:asciiTheme="minorEastAsia" w:hAnsiTheme="minorEastAsia" w:eastAsiaTheme="minorEastAsia" w:cstheme="minorEastAsia"/>
          <w:color w:val="auto"/>
          <w:sz w:val="24"/>
          <w:highlight w:val="none"/>
        </w:rPr>
        <w:t>三、磋商有关说明</w:t>
      </w:r>
      <w:bookmarkEnd w:id="21"/>
    </w:p>
    <w:p w14:paraId="63368D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（一）供应商应通过</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登记加入重庆市行采家采购供应商库”。</w:t>
      </w:r>
    </w:p>
    <w:p w14:paraId="3ED4DBD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（二）凡有意参加磋商的供应商，请在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上下载或到采购代理机构处领取本项目竞争性磋商文件以及图纸、澄清等磋商前公布的所有项目资料，无论供应商下载或领取与否，均视为已知晓所有磋商实质性要求内容。</w:t>
      </w:r>
    </w:p>
    <w:p w14:paraId="07018A1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（三）竞争性磋商公告期限：自采购公告发布之日起三个工作日。</w:t>
      </w:r>
    </w:p>
    <w:p w14:paraId="611A56E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（四）竞争性磋商文件发售期限： </w:t>
      </w:r>
    </w:p>
    <w:p w14:paraId="4A8607D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1.竞争性磋商文件发售期：2025年</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22</w:t>
      </w:r>
      <w:r>
        <w:rPr>
          <w:rFonts w:hint="eastAsia" w:asciiTheme="minorEastAsia" w:hAnsiTheme="minorEastAsia" w:eastAsiaTheme="minorEastAsia" w:cstheme="minorEastAsia"/>
          <w:color w:val="auto"/>
          <w:sz w:val="24"/>
          <w:szCs w:val="24"/>
          <w:highlight w:val="none"/>
        </w:rPr>
        <w:t>日至2025年</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27</w:t>
      </w:r>
      <w:r>
        <w:rPr>
          <w:rFonts w:hint="eastAsia" w:asciiTheme="minorEastAsia" w:hAnsiTheme="minorEastAsia" w:eastAsiaTheme="minorEastAsia" w:cstheme="minorEastAsia"/>
          <w:color w:val="auto"/>
          <w:sz w:val="24"/>
          <w:szCs w:val="24"/>
          <w:highlight w:val="none"/>
        </w:rPr>
        <w:t>日（9:00—17:00工作时间）。</w:t>
      </w:r>
    </w:p>
    <w:p w14:paraId="12E75DA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2.报名方式：</w:t>
      </w:r>
    </w:p>
    <w:p w14:paraId="50FFCEDE">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（1）潜在供应商将《采购文件发售登记表》（加盖供应商公章）及标书费转账凭证扫描后发送至8501629@qq.com。</w:t>
      </w:r>
    </w:p>
    <w:p w14:paraId="00AFEB47">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（2）收款账户：</w:t>
      </w:r>
    </w:p>
    <w:p w14:paraId="77E1A0FC">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 名：重庆宏仁招标代理有限公司</w:t>
      </w:r>
    </w:p>
    <w:p w14:paraId="25E9EB78">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19FB2CA5">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号：123907228910802</w:t>
      </w:r>
    </w:p>
    <w:p w14:paraId="53EC657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（3）在磋商文件发售期内购买了磋商文件的供应商，其报名才被接收。</w:t>
      </w:r>
    </w:p>
    <w:p w14:paraId="2EFCA66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（4）潜在供应商未报名不得参与磋商。</w:t>
      </w:r>
    </w:p>
    <w:p w14:paraId="2D8864A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3.竞争性磋商文件售价：人民币</w:t>
      </w:r>
      <w:r>
        <w:rPr>
          <w:rFonts w:hint="eastAsia" w:asciiTheme="minorEastAsia" w:hAnsiTheme="minorEastAsia" w:eastAsiaTheme="minorEastAsia" w:cstheme="minorEastAsia"/>
          <w:color w:val="auto"/>
          <w:sz w:val="24"/>
          <w:szCs w:val="24"/>
          <w:highlight w:val="none"/>
          <w:u w:val="single"/>
        </w:rPr>
        <w:t>300</w:t>
      </w:r>
      <w:r>
        <w:rPr>
          <w:rFonts w:hint="eastAsia" w:asciiTheme="minorEastAsia" w:hAnsiTheme="minorEastAsia" w:eastAsiaTheme="minorEastAsia" w:cstheme="minorEastAsia"/>
          <w:color w:val="auto"/>
          <w:sz w:val="24"/>
          <w:szCs w:val="24"/>
          <w:highlight w:val="none"/>
        </w:rPr>
        <w:t>元/包（售后不退）。</w:t>
      </w:r>
    </w:p>
    <w:p w14:paraId="648B47F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w:t>
      </w:r>
      <w:r>
        <w:rPr>
          <w:rFonts w:hint="eastAsia" w:asciiTheme="minorEastAsia" w:hAnsiTheme="minorEastAsia" w:eastAsiaTheme="minorEastAsia" w:cstheme="minorEastAsia"/>
          <w:color w:val="auto"/>
          <w:sz w:val="24"/>
          <w:szCs w:val="24"/>
          <w:highlight w:val="none"/>
          <w:u w:val="single"/>
        </w:rPr>
        <w:t>重庆宏仁招标代理有限公司开标室（重庆市渝北区星光大道60号1楼）</w:t>
      </w:r>
    </w:p>
    <w:p w14:paraId="4E53D57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w:t>
      </w:r>
      <w:bookmarkStart w:id="188" w:name="_GoBack"/>
      <w:bookmarkEnd w:id="188"/>
      <w:r>
        <w:rPr>
          <w:rFonts w:hint="eastAsia" w:asciiTheme="minorEastAsia" w:hAnsiTheme="minorEastAsia" w:eastAsiaTheme="minorEastAsia" w:cstheme="minorEastAsia"/>
          <w:color w:val="auto"/>
          <w:sz w:val="24"/>
          <w:szCs w:val="24"/>
          <w:highlight w:val="none"/>
        </w:rPr>
        <w:t>递交开始时间：2025年</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29</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01324707">
      <w:pPr>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（七）响应文件递交截止时间：2025年</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29</w:t>
      </w:r>
      <w:r>
        <w:rPr>
          <w:rFonts w:hint="eastAsia" w:asciiTheme="minorEastAsia" w:hAnsiTheme="minorEastAsia" w:eastAsiaTheme="minorEastAsia" w:cstheme="minorEastAsia"/>
          <w:color w:val="auto"/>
          <w:sz w:val="24"/>
          <w:szCs w:val="24"/>
          <w:highlight w:val="none"/>
        </w:rPr>
        <w:t>日北京时间1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00DB7B8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（八）磋商开始时间：2025年</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29</w:t>
      </w:r>
      <w:r>
        <w:rPr>
          <w:rFonts w:hint="eastAsia" w:asciiTheme="minorEastAsia" w:hAnsiTheme="minorEastAsia" w:eastAsiaTheme="minorEastAsia" w:cstheme="minorEastAsia"/>
          <w:color w:val="auto"/>
          <w:sz w:val="24"/>
          <w:szCs w:val="24"/>
          <w:highlight w:val="none"/>
        </w:rPr>
        <w:t>日北京时间1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7F1E0B42">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 w:name="_Toc25854"/>
      <w:bookmarkEnd w:id="22"/>
      <w:bookmarkStart w:id="23" w:name="_Toc12663"/>
      <w:bookmarkEnd w:id="23"/>
      <w:bookmarkStart w:id="24" w:name="_Toc18100"/>
      <w:bookmarkEnd w:id="24"/>
      <w:bookmarkStart w:id="25" w:name="_Toc23960"/>
      <w:bookmarkEnd w:id="25"/>
      <w:bookmarkStart w:id="26" w:name="_Toc11844"/>
      <w:bookmarkEnd w:id="26"/>
      <w:bookmarkStart w:id="27" w:name="_Toc75793500"/>
      <w:bookmarkEnd w:id="27"/>
      <w:bookmarkStart w:id="28" w:name="_Toc15717"/>
      <w:bookmarkEnd w:id="28"/>
      <w:bookmarkStart w:id="29" w:name="_Toc7836"/>
      <w:bookmarkEnd w:id="29"/>
      <w:bookmarkStart w:id="30" w:name="_Toc30895"/>
      <w:bookmarkEnd w:id="30"/>
      <w:bookmarkStart w:id="31" w:name="_Toc9290"/>
      <w:bookmarkEnd w:id="31"/>
      <w:bookmarkStart w:id="32" w:name="_Toc524"/>
      <w:bookmarkEnd w:id="32"/>
      <w:bookmarkStart w:id="33" w:name="_Toc3476"/>
      <w:bookmarkEnd w:id="33"/>
      <w:bookmarkStart w:id="34" w:name="_Toc12090"/>
      <w:bookmarkEnd w:id="34"/>
      <w:bookmarkStart w:id="35" w:name="_Toc22111"/>
      <w:bookmarkEnd w:id="35"/>
      <w:bookmarkStart w:id="36" w:name="_Toc106030376"/>
      <w:bookmarkEnd w:id="36"/>
      <w:bookmarkStart w:id="37" w:name="_Toc31178"/>
      <w:r>
        <w:rPr>
          <w:rFonts w:hint="eastAsia" w:asciiTheme="minorEastAsia" w:hAnsiTheme="minorEastAsia" w:eastAsiaTheme="minorEastAsia" w:cstheme="minorEastAsia"/>
          <w:color w:val="auto"/>
          <w:sz w:val="24"/>
          <w:highlight w:val="none"/>
        </w:rPr>
        <w:t>四、保证金</w:t>
      </w:r>
      <w:bookmarkEnd w:id="37"/>
    </w:p>
    <w:p w14:paraId="3EA2D0E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（一）磋商保证金</w:t>
      </w:r>
    </w:p>
    <w:p w14:paraId="073625F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1.转账方式</w:t>
      </w:r>
    </w:p>
    <w:p w14:paraId="435C012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1.1供应商应足额交纳磋商保证金（保证金金额详见本篇，一、竞争性磋商内容），并汇至以下账户，保证金的到账截止时间为“磋商开始时间”前一日北京时间17时00分。</w:t>
      </w:r>
    </w:p>
    <w:p w14:paraId="3BA3F48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磋商保证金缴纳账户：</w:t>
      </w:r>
    </w:p>
    <w:p w14:paraId="1BE8B8F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14:paraId="4A0C67A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58F0FA3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14:paraId="2FBBB83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14:paraId="4F97049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14:paraId="6F9759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14:paraId="1C43767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14:paraId="6324C304">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8" w:name="_Toc21681"/>
      <w:r>
        <w:rPr>
          <w:rFonts w:hint="eastAsia" w:asciiTheme="minorEastAsia" w:hAnsiTheme="minorEastAsia" w:eastAsiaTheme="minorEastAsia" w:cstheme="minorEastAsia"/>
          <w:color w:val="auto"/>
          <w:sz w:val="24"/>
          <w:highlight w:val="none"/>
        </w:rPr>
        <w:t>五、</w:t>
      </w:r>
      <w:bookmarkEnd w:id="17"/>
      <w:r>
        <w:rPr>
          <w:rFonts w:hint="eastAsia" w:asciiTheme="minorEastAsia" w:hAnsiTheme="minorEastAsia" w:eastAsiaTheme="minorEastAsia" w:cstheme="minorEastAsia"/>
          <w:color w:val="auto"/>
          <w:sz w:val="24"/>
          <w:highlight w:val="none"/>
        </w:rPr>
        <w:t>其它有关规定</w:t>
      </w:r>
      <w:bookmarkEnd w:id="38"/>
    </w:p>
    <w:p w14:paraId="145A6019">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14:paraId="6A256B48">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38919EF2">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上发布，请各供应商注意下载或到采购代理机构处领取；无论供应商下载或领取与否，均视同供应商已知晓本项目澄清文件（如果有）的内容。</w:t>
      </w:r>
    </w:p>
    <w:p w14:paraId="458B7212">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11A3F34F">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59B9DE36">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14:paraId="4A8EA684">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14:paraId="5D96FB2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bookmarkStart w:id="39"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39"/>
    <w:p w14:paraId="042EFCC4">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0" w:name="_Toc106030877"/>
      <w:bookmarkEnd w:id="40"/>
      <w:bookmarkStart w:id="41" w:name="_Toc32225"/>
      <w:bookmarkEnd w:id="41"/>
      <w:bookmarkStart w:id="42" w:name="_Toc76462323"/>
      <w:bookmarkEnd w:id="42"/>
      <w:bookmarkStart w:id="43" w:name="_Toc4030"/>
      <w:r>
        <w:rPr>
          <w:rFonts w:hint="eastAsia" w:asciiTheme="minorEastAsia" w:hAnsiTheme="minorEastAsia" w:eastAsiaTheme="minorEastAsia" w:cstheme="minorEastAsia"/>
          <w:color w:val="auto"/>
          <w:sz w:val="24"/>
          <w:highlight w:val="none"/>
        </w:rPr>
        <w:t>六、联系方式</w:t>
      </w:r>
      <w:bookmarkEnd w:id="43"/>
    </w:p>
    <w:p w14:paraId="19A391A5">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重庆市农业农村委员会</w:t>
      </w:r>
    </w:p>
    <w:p w14:paraId="3317216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张雯雯  </w:t>
      </w:r>
      <w:r>
        <w:rPr>
          <w:rFonts w:hint="eastAsia" w:asciiTheme="minorEastAsia" w:hAnsiTheme="minorEastAsia" w:eastAsiaTheme="minorEastAsia" w:cstheme="minorEastAsia"/>
          <w:color w:val="auto"/>
          <w:sz w:val="24"/>
          <w:szCs w:val="24"/>
          <w:highlight w:val="none"/>
        </w:rPr>
        <w:t xml:space="preserve"> </w:t>
      </w:r>
    </w:p>
    <w:p w14:paraId="1968A08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w:t>
      </w:r>
      <w:r>
        <w:rPr>
          <w:rFonts w:hint="eastAsia" w:asciiTheme="minorEastAsia" w:hAnsiTheme="minorEastAsia" w:eastAsiaTheme="minorEastAsia" w:cstheme="minorEastAsia"/>
          <w:color w:val="auto"/>
          <w:sz w:val="24"/>
          <w:szCs w:val="24"/>
          <w:highlight w:val="none"/>
        </w:rPr>
        <w:t>89133064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5DE2C1B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址：重庆市渝北区黄山大道东段186号</w:t>
      </w:r>
    </w:p>
    <w:p w14:paraId="5F2E7A8C">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14:paraId="15202A5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联系人：蒋老师 </w:t>
      </w:r>
    </w:p>
    <w:p w14:paraId="0E064C5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话：19122472100</w:t>
      </w:r>
    </w:p>
    <w:p w14:paraId="22AC5B1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址：重庆市渝北区星光大道60号</w:t>
      </w:r>
    </w:p>
    <w:p w14:paraId="492E2F0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0BCF24EB">
      <w:pPr>
        <w:rPr>
          <w:rFonts w:hint="eastAsia" w:asciiTheme="minorEastAsia" w:hAnsiTheme="minorEastAsia" w:eastAsiaTheme="minorEastAsia" w:cstheme="minorEastAsia"/>
          <w:color w:val="auto"/>
          <w:highlight w:val="none"/>
        </w:rPr>
      </w:pPr>
    </w:p>
    <w:p w14:paraId="24C80B23">
      <w:pPr>
        <w:rPr>
          <w:rFonts w:hint="eastAsia" w:asciiTheme="minorEastAsia" w:hAnsiTheme="minorEastAsia" w:eastAsiaTheme="minorEastAsia" w:cstheme="minorEastAsia"/>
          <w:color w:val="auto"/>
          <w:highlight w:val="none"/>
        </w:rPr>
      </w:pPr>
    </w:p>
    <w:p w14:paraId="2960074C">
      <w:pPr>
        <w:pStyle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14:paraId="6404B052">
      <w:pPr>
        <w:jc w:val="center"/>
        <w:rPr>
          <w:rFonts w:hint="eastAsia" w:asciiTheme="minorEastAsia" w:hAnsiTheme="minorEastAsia" w:eastAsiaTheme="minorEastAsia" w:cstheme="minorEastAsia"/>
          <w:b/>
          <w:bCs/>
          <w:color w:val="auto"/>
          <w:sz w:val="44"/>
          <w:szCs w:val="44"/>
          <w:highlight w:val="none"/>
        </w:rPr>
      </w:pPr>
    </w:p>
    <w:p w14:paraId="22ED1F18">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14:paraId="7DCEA55F">
      <w:pPr>
        <w:jc w:val="left"/>
        <w:rPr>
          <w:rFonts w:hint="eastAsia" w:asciiTheme="minorEastAsia" w:hAnsiTheme="minorEastAsia" w:eastAsiaTheme="minorEastAsia" w:cstheme="minorEastAsia"/>
          <w:b/>
          <w:bCs/>
          <w:color w:val="auto"/>
          <w:spacing w:val="40"/>
          <w:highlight w:val="none"/>
        </w:rPr>
      </w:pPr>
    </w:p>
    <w:tbl>
      <w:tblPr>
        <w:tblStyle w:val="57"/>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14:paraId="275D0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14:paraId="7BAB1C8D">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14:paraId="6E7354EA">
            <w:pP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HRZ25C102</w:t>
            </w:r>
          </w:p>
          <w:p w14:paraId="598D9369">
            <w:pPr>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eastAsia="zh-CN"/>
              </w:rPr>
              <w:t>“五个振兴”宣传专题片制作服务</w:t>
            </w:r>
          </w:p>
        </w:tc>
      </w:tr>
      <w:tr w14:paraId="69EBF9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14:paraId="37DA84C5">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14:paraId="55243AAE">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14:paraId="0C6BFA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1CC1519D">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14:paraId="3F64B9B8">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14:paraId="16359ED7">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14:paraId="221B4D2A">
            <w:pPr>
              <w:jc w:val="left"/>
              <w:rPr>
                <w:rFonts w:hint="eastAsia" w:asciiTheme="minorEastAsia" w:hAnsiTheme="minorEastAsia" w:eastAsiaTheme="minorEastAsia" w:cstheme="minorEastAsia"/>
                <w:color w:val="auto"/>
                <w:sz w:val="30"/>
                <w:szCs w:val="30"/>
                <w:highlight w:val="none"/>
              </w:rPr>
            </w:pPr>
          </w:p>
        </w:tc>
      </w:tr>
      <w:tr w14:paraId="7367C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25733451">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14:paraId="4FAABF8C">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14:paraId="64833992">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14:paraId="19447C78">
            <w:pPr>
              <w:jc w:val="left"/>
              <w:rPr>
                <w:rFonts w:hint="eastAsia" w:asciiTheme="minorEastAsia" w:hAnsiTheme="minorEastAsia" w:eastAsiaTheme="minorEastAsia" w:cstheme="minorEastAsia"/>
                <w:color w:val="auto"/>
                <w:sz w:val="30"/>
                <w:szCs w:val="30"/>
                <w:highlight w:val="none"/>
              </w:rPr>
            </w:pPr>
          </w:p>
        </w:tc>
      </w:tr>
      <w:tr w14:paraId="286762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14:paraId="6F3DFF2A">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14:paraId="3872D523">
            <w:pPr>
              <w:jc w:val="left"/>
              <w:rPr>
                <w:rFonts w:hint="eastAsia" w:asciiTheme="minorEastAsia" w:hAnsiTheme="minorEastAsia" w:eastAsiaTheme="minorEastAsia" w:cstheme="minorEastAsia"/>
                <w:color w:val="auto"/>
                <w:sz w:val="30"/>
                <w:szCs w:val="30"/>
                <w:highlight w:val="none"/>
              </w:rPr>
            </w:pPr>
          </w:p>
        </w:tc>
      </w:tr>
      <w:tr w14:paraId="50CA6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14:paraId="2133F65A">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14:paraId="617E9942">
            <w:pPr>
              <w:jc w:val="left"/>
              <w:rPr>
                <w:rFonts w:hint="eastAsia" w:asciiTheme="minorEastAsia" w:hAnsiTheme="minorEastAsia" w:eastAsiaTheme="minorEastAsia" w:cstheme="minorEastAsia"/>
                <w:color w:val="auto"/>
                <w:sz w:val="30"/>
                <w:szCs w:val="30"/>
                <w:highlight w:val="none"/>
              </w:rPr>
            </w:pPr>
          </w:p>
        </w:tc>
      </w:tr>
      <w:tr w14:paraId="74569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14:paraId="00B1E13E">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14:paraId="431AC078">
            <w:pPr>
              <w:jc w:val="lef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14:paraId="38F49D5B">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标书金额：</w:t>
      </w:r>
      <w:r>
        <w:rPr>
          <w:rFonts w:hint="eastAsia" w:asciiTheme="minorEastAsia" w:hAnsiTheme="minorEastAsia" w:eastAsiaTheme="minorEastAsia" w:cstheme="minorEastAsia"/>
          <w:color w:val="auto"/>
          <w:sz w:val="24"/>
          <w:highlight w:val="none"/>
          <w:u w:val="single"/>
        </w:rPr>
        <w:t>300</w:t>
      </w:r>
      <w:r>
        <w:rPr>
          <w:rFonts w:hint="eastAsia" w:asciiTheme="minorEastAsia" w:hAnsiTheme="minorEastAsia" w:eastAsiaTheme="minorEastAsia" w:cstheme="minorEastAsia"/>
          <w:color w:val="auto"/>
          <w:sz w:val="24"/>
          <w:highlight w:val="none"/>
        </w:rPr>
        <w:t xml:space="preserve">元/分包  发售人：重庆宏仁招标代理有限公司  </w:t>
      </w:r>
    </w:p>
    <w:p w14:paraId="1B458DB1">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14:paraId="56598CC7">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447A8117">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1.报名和比选通知书发售期：2025年</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22</w:t>
      </w:r>
      <w:r>
        <w:rPr>
          <w:rFonts w:hint="eastAsia" w:asciiTheme="minorEastAsia" w:hAnsiTheme="minorEastAsia" w:eastAsiaTheme="minorEastAsia" w:cstheme="minorEastAsia"/>
          <w:color w:val="auto"/>
          <w:sz w:val="24"/>
          <w:highlight w:val="none"/>
        </w:rPr>
        <w:t>日-2025年</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27</w:t>
      </w:r>
      <w:r>
        <w:rPr>
          <w:rFonts w:hint="eastAsia" w:asciiTheme="minorEastAsia" w:hAnsiTheme="minorEastAsia" w:eastAsiaTheme="minorEastAsia" w:cstheme="minorEastAsia"/>
          <w:color w:val="auto"/>
          <w:sz w:val="24"/>
          <w:highlight w:val="none"/>
        </w:rPr>
        <w:t>日17:00（工作时间）</w:t>
      </w:r>
    </w:p>
    <w:p w14:paraId="2AB71E2F">
      <w:pPr>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蒋老师</w:t>
      </w:r>
      <w:r>
        <w:rPr>
          <w:rFonts w:hint="eastAsia" w:asciiTheme="minorEastAsia" w:hAnsiTheme="minorEastAsia" w:eastAsiaTheme="minorEastAsia" w:cstheme="minorEastAsia"/>
          <w:color w:val="auto"/>
          <w:sz w:val="24"/>
          <w:highlight w:val="none"/>
        </w:rPr>
        <w:t xml:space="preserve">  电话：19122472100 邮箱：8501629@qq.com</w:t>
      </w:r>
    </w:p>
    <w:p w14:paraId="4E0DA7D9">
      <w:pPr>
        <w:snapToGrid w:val="0"/>
        <w:spacing w:line="420" w:lineRule="exact"/>
        <w:ind w:firstLine="723"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2.若需开发票请将开票信息发送至邮箱852786624@qq.com</w:t>
      </w:r>
    </w:p>
    <w:p w14:paraId="7CED0133">
      <w:pPr>
        <w:rPr>
          <w:rFonts w:hint="eastAsia" w:asciiTheme="minorEastAsia" w:hAnsiTheme="minorEastAsia" w:eastAsiaTheme="minorEastAsia" w:cstheme="minorEastAsia"/>
          <w:b/>
          <w:color w:val="auto"/>
          <w:sz w:val="24"/>
          <w:szCs w:val="24"/>
          <w:highlight w:val="none"/>
        </w:rPr>
      </w:pPr>
    </w:p>
    <w:p w14:paraId="2B540BC6">
      <w:pPr>
        <w:pStyle w:val="5"/>
        <w:rPr>
          <w:rFonts w:hint="eastAsia" w:asciiTheme="minorEastAsia" w:hAnsiTheme="minorEastAsia" w:eastAsiaTheme="minorEastAsia" w:cstheme="minorEastAsia"/>
          <w:b w:val="0"/>
          <w:color w:val="auto"/>
          <w:sz w:val="24"/>
          <w:szCs w:val="24"/>
          <w:highlight w:val="none"/>
        </w:rPr>
      </w:pPr>
    </w:p>
    <w:p w14:paraId="5254635A">
      <w:pPr>
        <w:rPr>
          <w:rFonts w:hint="eastAsia" w:asciiTheme="minorEastAsia" w:hAnsiTheme="minorEastAsia" w:eastAsiaTheme="minorEastAsia" w:cstheme="minorEastAsia"/>
          <w:b/>
          <w:color w:val="auto"/>
          <w:sz w:val="24"/>
          <w:szCs w:val="24"/>
          <w:highlight w:val="none"/>
        </w:rPr>
      </w:pPr>
    </w:p>
    <w:p w14:paraId="0A7444EC">
      <w:pPr>
        <w:pStyle w:val="5"/>
        <w:rPr>
          <w:rFonts w:hint="eastAsia" w:asciiTheme="minorEastAsia" w:hAnsiTheme="minorEastAsia" w:eastAsiaTheme="minorEastAsia" w:cstheme="minorEastAsia"/>
          <w:b w:val="0"/>
          <w:color w:val="auto"/>
          <w:sz w:val="24"/>
          <w:szCs w:val="24"/>
          <w:highlight w:val="none"/>
        </w:rPr>
      </w:pPr>
    </w:p>
    <w:p w14:paraId="2984C151">
      <w:pPr>
        <w:rPr>
          <w:rFonts w:hint="eastAsia"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14:paraId="64F90103">
      <w:pPr>
        <w:pStyle w:val="4"/>
        <w:spacing w:before="0" w:after="0" w:line="360" w:lineRule="auto"/>
        <w:jc w:val="center"/>
        <w:rPr>
          <w:rFonts w:hint="eastAsia" w:asciiTheme="minorEastAsia" w:hAnsiTheme="minorEastAsia" w:eastAsiaTheme="minorEastAsia" w:cstheme="minorEastAsia"/>
          <w:bCs/>
          <w:color w:val="auto"/>
          <w:sz w:val="30"/>
          <w:szCs w:val="30"/>
          <w:highlight w:val="none"/>
        </w:rPr>
      </w:pPr>
      <w:bookmarkStart w:id="44" w:name="_Toc76462324"/>
      <w:bookmarkEnd w:id="44"/>
      <w:bookmarkStart w:id="45" w:name="_Toc3523"/>
      <w:bookmarkEnd w:id="45"/>
      <w:bookmarkStart w:id="46" w:name="_Toc106030878"/>
      <w:bookmarkEnd w:id="46"/>
      <w:bookmarkStart w:id="47" w:name="_Toc20924"/>
      <w:r>
        <w:rPr>
          <w:rFonts w:hint="eastAsia" w:asciiTheme="minorEastAsia" w:hAnsiTheme="minorEastAsia" w:eastAsiaTheme="minorEastAsia" w:cstheme="minorEastAsia"/>
          <w:bCs/>
          <w:color w:val="auto"/>
          <w:sz w:val="36"/>
          <w:szCs w:val="30"/>
          <w:highlight w:val="none"/>
        </w:rPr>
        <w:t>第二篇  项目服务需求</w:t>
      </w:r>
      <w:bookmarkEnd w:id="47"/>
    </w:p>
    <w:p w14:paraId="3FA8BFF5">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48" w:name="_Toc14460"/>
      <w:bookmarkEnd w:id="48"/>
      <w:bookmarkStart w:id="49" w:name="_Toc106030879"/>
      <w:bookmarkEnd w:id="49"/>
      <w:bookmarkStart w:id="50" w:name="_Toc76462325"/>
      <w:bookmarkEnd w:id="50"/>
      <w:bookmarkStart w:id="51" w:name="_Toc28413"/>
      <w:bookmarkStart w:id="52" w:name="_Toc12789058"/>
      <w:r>
        <w:rPr>
          <w:rFonts w:hint="eastAsia" w:asciiTheme="minorEastAsia" w:hAnsiTheme="minorEastAsia" w:eastAsiaTheme="minorEastAsia" w:cstheme="minorEastAsia"/>
          <w:color w:val="auto"/>
          <w:sz w:val="24"/>
          <w:highlight w:val="none"/>
        </w:rPr>
        <w:t>一、项目</w:t>
      </w:r>
      <w:r>
        <w:rPr>
          <w:rFonts w:hint="eastAsia" w:asciiTheme="minorEastAsia" w:hAnsiTheme="minorEastAsia" w:eastAsiaTheme="minorEastAsia" w:cstheme="minorEastAsia"/>
          <w:color w:val="auto"/>
          <w:sz w:val="24"/>
          <w:highlight w:val="none"/>
          <w:lang w:val="en-US" w:eastAsia="zh-CN"/>
        </w:rPr>
        <w:t>概况</w:t>
      </w:r>
      <w:bookmarkEnd w:id="51"/>
    </w:p>
    <w:p w14:paraId="26EC5BAB">
      <w:pPr>
        <w:spacing w:line="420" w:lineRule="exact"/>
        <w:ind w:firstLine="480" w:firstLineChars="200"/>
        <w:jc w:val="left"/>
        <w:rPr>
          <w:color w:val="auto"/>
          <w:highlight w:val="none"/>
        </w:rPr>
      </w:pPr>
      <w:r>
        <w:rPr>
          <w:rFonts w:hint="eastAsia" w:asciiTheme="minorEastAsia" w:hAnsiTheme="minorEastAsia" w:eastAsiaTheme="minorEastAsia" w:cstheme="minorEastAsia"/>
          <w:color w:val="auto"/>
          <w:sz w:val="24"/>
          <w:szCs w:val="24"/>
          <w:highlight w:val="none"/>
        </w:rPr>
        <w:t>为聚力打造城乡融合乡村振兴示范区，推进巴渝和美乡村建设，拟围绕展示和宣传“五个振兴”的丰硕成果制作宣传专题片。</w:t>
      </w:r>
    </w:p>
    <w:p w14:paraId="548571A8">
      <w:pPr>
        <w:pStyle w:val="4"/>
        <w:adjustRightInd w:val="0"/>
        <w:snapToGrid w:val="0"/>
        <w:spacing w:before="0" w:after="0" w:line="400" w:lineRule="exact"/>
        <w:ind w:firstLine="482" w:firstLineChars="200"/>
        <w:rPr>
          <w:rFonts w:hint="default" w:asciiTheme="minorEastAsia" w:hAnsiTheme="minorEastAsia" w:eastAsiaTheme="minorEastAsia" w:cstheme="minorEastAsia"/>
          <w:color w:val="auto"/>
          <w:sz w:val="24"/>
          <w:highlight w:val="none"/>
          <w:lang w:val="en-US" w:eastAsia="zh-CN"/>
        </w:rPr>
      </w:pPr>
      <w:bookmarkStart w:id="53" w:name="_Toc30589"/>
      <w:r>
        <w:rPr>
          <w:rFonts w:hint="eastAsia" w:asciiTheme="minorEastAsia" w:hAnsiTheme="minorEastAsia" w:eastAsiaTheme="minorEastAsia" w:cstheme="minorEastAsia"/>
          <w:color w:val="auto"/>
          <w:sz w:val="24"/>
          <w:highlight w:val="none"/>
        </w:rPr>
        <w:t>二、</w:t>
      </w:r>
      <w:r>
        <w:rPr>
          <w:rFonts w:hint="eastAsia" w:asciiTheme="minorEastAsia" w:hAnsiTheme="minorEastAsia" w:eastAsiaTheme="minorEastAsia" w:cstheme="minorEastAsia"/>
          <w:color w:val="auto"/>
          <w:sz w:val="24"/>
          <w:highlight w:val="none"/>
          <w:lang w:val="en-US" w:eastAsia="zh-CN"/>
        </w:rPr>
        <w:t>项目内容及要求</w:t>
      </w:r>
      <w:bookmarkEnd w:id="53"/>
    </w:p>
    <w:p w14:paraId="1BBC353A">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（一）项目内容</w:t>
      </w:r>
    </w:p>
    <w:p w14:paraId="35CD72B5">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宣传专题片的形式，展示一年来市委市政府带领全市上下深入贯彻落实习近平总书记关于“三农”工作的重要论述以及视察重庆时的重要讲话与重要指示精神，坚持农业农村优先发展，坚持党建引领，坚守确保粮食安全、不发生规模性返贫的“两条底线”，强化农村改革和科技创新“双轮驱动”，以“四千行动”为抓手推动乡村产业、人才、文化、生态、组织“五个振兴”及带来的丰硕成果。</w:t>
      </w:r>
    </w:p>
    <w:p w14:paraId="0578FB69">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（二）项目要求</w:t>
      </w:r>
    </w:p>
    <w:p w14:paraId="357FCB6B">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1.供应商根据采购要求制定实施方案，进行素材收集、脚本撰写、拍摄计划、实施拍摄以及后期包装。</w:t>
      </w:r>
    </w:p>
    <w:p w14:paraId="7DDE13E3">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2.完成时间：合同签订后15个工作日内提交全部视频成果并通过需方审核。</w:t>
      </w:r>
    </w:p>
    <w:p w14:paraId="21C46C29">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3.形式：宣传片视频形式包括但不限于专题片、纪录片、动画片、微电影、微访谈等。</w:t>
      </w:r>
    </w:p>
    <w:p w14:paraId="293A79A3">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4.时长：专题宣传片总时长约8分钟。</w:t>
      </w:r>
    </w:p>
    <w:p w14:paraId="670DF59F">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5.提供经后期制作可供VCD、DVD、电视台、网络、LED等媒体播映的高清级成片源文件。提交的视频内容和技术标准必须符合行业规定及国家相关法律法规，且应遵守知识产权保护及相关保密责任要求。</w:t>
      </w:r>
    </w:p>
    <w:p w14:paraId="38D5A958">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6.采购方与供应商对供应商提交的专题宣传片拥有共同版权。</w:t>
      </w:r>
    </w:p>
    <w:p w14:paraId="7D99AE22">
      <w:pPr>
        <w:pStyle w:val="4"/>
        <w:adjustRightInd w:val="0"/>
        <w:snapToGrid w:val="0"/>
        <w:spacing w:before="0" w:after="0" w:line="400" w:lineRule="exact"/>
        <w:ind w:firstLine="482" w:firstLineChars="200"/>
        <w:rPr>
          <w:rFonts w:hint="default" w:asciiTheme="minorEastAsia" w:hAnsiTheme="minorEastAsia" w:eastAsiaTheme="minorEastAsia" w:cstheme="minorEastAsia"/>
          <w:color w:val="auto"/>
          <w:sz w:val="24"/>
          <w:highlight w:val="none"/>
          <w:lang w:val="en-US" w:eastAsia="zh-CN"/>
        </w:rPr>
      </w:pPr>
      <w:bookmarkStart w:id="54" w:name="_Toc24419"/>
      <w:r>
        <w:rPr>
          <w:rFonts w:hint="eastAsia" w:asciiTheme="minorEastAsia" w:hAnsiTheme="minorEastAsia" w:eastAsiaTheme="minorEastAsia" w:cstheme="minorEastAsia"/>
          <w:color w:val="auto"/>
          <w:sz w:val="24"/>
          <w:highlight w:val="none"/>
          <w:lang w:val="en-US" w:eastAsia="zh-CN"/>
        </w:rPr>
        <w:t>三、技术标准</w:t>
      </w:r>
      <w:bookmarkEnd w:id="54"/>
    </w:p>
    <w:p w14:paraId="15CFA399">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（一）语种：中文普通话配音。</w:t>
      </w:r>
    </w:p>
    <w:p w14:paraId="2FF1DE8E">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（二）字幕：字幕要使用符合国家标准的规范字，不出现繁体字、异体字、错别字。</w:t>
      </w:r>
    </w:p>
    <w:p w14:paraId="2308F933">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（三）画幅比例：16:9。</w:t>
      </w:r>
    </w:p>
    <w:p w14:paraId="7E7E99B9">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（四）视频源质量应达到广电高清播出级质量，具体执行标准如下：</w:t>
      </w:r>
    </w:p>
    <w:p w14:paraId="41C13C69">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1.动漫视频：信号：PAL制，格式：MP4格式，分辨率：不低于1080P，采样率：不低于4：2：2，帧速（帧/秒）：25p，码率：不低于50Mbps。</w:t>
      </w:r>
    </w:p>
    <w:p w14:paraId="259CCEA6">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2.其他视频：格式：MP4格式，分辨率：1080×1920，帧速（帧/秒）：25p，码率：不低于20Mbps。</w:t>
      </w:r>
    </w:p>
    <w:p w14:paraId="52F1CDCC">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4E1C661E">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5A61E431">
      <w:pPr>
        <w:pStyle w:val="2"/>
        <w:rPr>
          <w:rFonts w:hint="eastAsia" w:asciiTheme="minorEastAsia" w:hAnsiTheme="minorEastAsia" w:eastAsiaTheme="minorEastAsia" w:cstheme="minorEastAsia"/>
          <w:color w:val="auto"/>
          <w:sz w:val="24"/>
          <w:szCs w:val="24"/>
          <w:highlight w:val="none"/>
        </w:rPr>
      </w:pPr>
    </w:p>
    <w:p w14:paraId="7E86B5E6">
      <w:pPr>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52"/>
    <w:p w14:paraId="5BB9B031">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55" w:name="_Toc106030882"/>
      <w:bookmarkEnd w:id="55"/>
      <w:bookmarkStart w:id="56" w:name="_Toc21242"/>
      <w:bookmarkEnd w:id="56"/>
      <w:bookmarkStart w:id="57" w:name="_Toc76462327"/>
      <w:bookmarkEnd w:id="57"/>
      <w:bookmarkStart w:id="58" w:name="_Toc31979"/>
      <w:r>
        <w:rPr>
          <w:rFonts w:hint="eastAsia" w:asciiTheme="minorEastAsia" w:hAnsiTheme="minorEastAsia" w:eastAsiaTheme="minorEastAsia" w:cstheme="minorEastAsia"/>
          <w:bCs/>
          <w:color w:val="auto"/>
          <w:sz w:val="36"/>
          <w:szCs w:val="30"/>
          <w:highlight w:val="none"/>
        </w:rPr>
        <w:t>第三篇  项目商务需求</w:t>
      </w:r>
      <w:bookmarkEnd w:id="58"/>
    </w:p>
    <w:p w14:paraId="7DA93A23">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9" w:name="_Toc76462328"/>
      <w:bookmarkEnd w:id="59"/>
      <w:bookmarkStart w:id="60" w:name="_Toc344475120"/>
      <w:bookmarkEnd w:id="60"/>
      <w:bookmarkStart w:id="61" w:name="_Toc28019"/>
      <w:bookmarkEnd w:id="61"/>
      <w:bookmarkStart w:id="62" w:name="_Toc106030883"/>
      <w:bookmarkEnd w:id="62"/>
      <w:bookmarkStart w:id="63" w:name="_Toc22616"/>
      <w:r>
        <w:rPr>
          <w:rFonts w:hint="eastAsia" w:asciiTheme="minorEastAsia" w:hAnsiTheme="minorEastAsia" w:eastAsiaTheme="minorEastAsia" w:cstheme="minorEastAsia"/>
          <w:color w:val="auto"/>
          <w:sz w:val="24"/>
          <w:highlight w:val="none"/>
        </w:rPr>
        <w:t>一、实施时间、地点及验收方式</w:t>
      </w:r>
      <w:bookmarkEnd w:id="63"/>
    </w:p>
    <w:p w14:paraId="035D42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实施时间</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u w:val="single"/>
        </w:rPr>
        <w:t>15</w:t>
      </w:r>
      <w:r>
        <w:rPr>
          <w:rFonts w:hint="eastAsia" w:asciiTheme="minorEastAsia" w:hAnsiTheme="minorEastAsia" w:eastAsiaTheme="minorEastAsia" w:cstheme="minorEastAsia"/>
          <w:color w:val="auto"/>
          <w:sz w:val="24"/>
          <w:szCs w:val="24"/>
          <w:highlight w:val="none"/>
        </w:rPr>
        <w:t>个工作日内提交全部视频成果并通过需方审核。</w:t>
      </w:r>
    </w:p>
    <w:p w14:paraId="08D55E9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地点：采购人指定地点。</w:t>
      </w:r>
    </w:p>
    <w:p w14:paraId="0D6C55F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（三）验收方式：采购人组织专家按照磋商文件和成交供应商的响应文件内容进行验收，成交供应商按照磋商文件第二篇的要求交付视频的成片全文件。</w:t>
      </w:r>
    </w:p>
    <w:p w14:paraId="102B4525">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4" w:name="_Toc106030884"/>
      <w:bookmarkEnd w:id="64"/>
      <w:bookmarkStart w:id="65" w:name="_Toc17708"/>
      <w:bookmarkEnd w:id="65"/>
      <w:bookmarkStart w:id="66" w:name="_Toc76462329"/>
      <w:bookmarkEnd w:id="66"/>
      <w:bookmarkStart w:id="67" w:name="_Toc344475121"/>
      <w:bookmarkEnd w:id="67"/>
      <w:bookmarkStart w:id="68" w:name="_Toc20212"/>
      <w:r>
        <w:rPr>
          <w:rFonts w:hint="eastAsia" w:asciiTheme="minorEastAsia" w:hAnsiTheme="minorEastAsia" w:eastAsiaTheme="minorEastAsia" w:cstheme="minorEastAsia"/>
          <w:color w:val="auto"/>
          <w:sz w:val="24"/>
          <w:highlight w:val="none"/>
        </w:rPr>
        <w:t>二、报价要求</w:t>
      </w:r>
      <w:bookmarkEnd w:id="68"/>
    </w:p>
    <w:p w14:paraId="67085071">
      <w:pPr>
        <w:snapToGrid w:val="0"/>
        <w:spacing w:line="400" w:lineRule="exact"/>
        <w:ind w:firstLine="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磋商报价包括完成本项目所需的全部服务费，包含但不限于完成本项目所需的人工费、</w:t>
      </w:r>
      <w:r>
        <w:rPr>
          <w:rFonts w:hint="eastAsia" w:asciiTheme="minorEastAsia" w:hAnsiTheme="minorEastAsia" w:eastAsiaTheme="minorEastAsia" w:cstheme="minorEastAsia"/>
          <w:color w:val="auto"/>
          <w:sz w:val="24"/>
          <w:szCs w:val="24"/>
          <w:highlight w:val="none"/>
          <w:lang w:val="en-US" w:eastAsia="zh-CN"/>
        </w:rPr>
        <w:t>完成服务需要的设备购置费、</w:t>
      </w:r>
      <w:r>
        <w:rPr>
          <w:rFonts w:hint="eastAsia" w:asciiTheme="minorEastAsia" w:hAnsiTheme="minorEastAsia" w:eastAsiaTheme="minorEastAsia" w:cstheme="minorEastAsia"/>
          <w:color w:val="auto"/>
          <w:sz w:val="24"/>
          <w:szCs w:val="24"/>
          <w:highlight w:val="none"/>
        </w:rPr>
        <w:t>差旅费、通讯费、</w:t>
      </w:r>
      <w:r>
        <w:rPr>
          <w:rFonts w:hint="eastAsia" w:asciiTheme="minorEastAsia" w:hAnsiTheme="minorEastAsia" w:eastAsiaTheme="minorEastAsia" w:cstheme="minorEastAsia"/>
          <w:color w:val="auto"/>
          <w:sz w:val="24"/>
          <w:szCs w:val="24"/>
          <w:highlight w:val="none"/>
          <w:lang w:val="en-US" w:eastAsia="zh-CN"/>
        </w:rPr>
        <w:t>拍摄</w:t>
      </w:r>
      <w:r>
        <w:rPr>
          <w:rFonts w:hint="eastAsia" w:asciiTheme="minorEastAsia" w:hAnsiTheme="minorEastAsia" w:eastAsiaTheme="minorEastAsia" w:cstheme="minorEastAsia"/>
          <w:color w:val="auto"/>
          <w:sz w:val="24"/>
          <w:szCs w:val="24"/>
          <w:highlight w:val="none"/>
        </w:rPr>
        <w:t>费、</w:t>
      </w:r>
      <w:r>
        <w:rPr>
          <w:rFonts w:hint="eastAsia" w:asciiTheme="minorEastAsia" w:hAnsiTheme="minorEastAsia" w:eastAsiaTheme="minorEastAsia" w:cstheme="minorEastAsia"/>
          <w:color w:val="auto"/>
          <w:sz w:val="24"/>
          <w:szCs w:val="24"/>
          <w:highlight w:val="none"/>
          <w:lang w:val="en-US" w:eastAsia="zh-CN"/>
        </w:rPr>
        <w:t>视频制作</w:t>
      </w:r>
      <w:r>
        <w:rPr>
          <w:rFonts w:hint="eastAsia" w:asciiTheme="minorEastAsia" w:hAnsiTheme="minorEastAsia" w:eastAsiaTheme="minorEastAsia" w:cstheme="minorEastAsia"/>
          <w:color w:val="auto"/>
          <w:sz w:val="24"/>
          <w:szCs w:val="24"/>
          <w:highlight w:val="none"/>
        </w:rPr>
        <w:t>费、税费及其它与本项目相关的一切费用。因成交供应商自身原因造成漏报、少报皆由其自行承担责任，采购人不再补偿。</w:t>
      </w:r>
    </w:p>
    <w:p w14:paraId="4502DB23">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9" w:name="_Toc76462330"/>
      <w:bookmarkEnd w:id="69"/>
      <w:bookmarkStart w:id="70" w:name="_Toc106030885"/>
      <w:bookmarkEnd w:id="70"/>
      <w:bookmarkStart w:id="71" w:name="_Toc11329"/>
      <w:bookmarkEnd w:id="71"/>
      <w:bookmarkStart w:id="72" w:name="_Toc344475122"/>
      <w:bookmarkEnd w:id="72"/>
      <w:bookmarkStart w:id="73" w:name="_Toc8616"/>
      <w:r>
        <w:rPr>
          <w:rFonts w:hint="eastAsia" w:asciiTheme="minorEastAsia" w:hAnsiTheme="minorEastAsia" w:eastAsiaTheme="minorEastAsia" w:cstheme="minorEastAsia"/>
          <w:color w:val="auto"/>
          <w:sz w:val="24"/>
          <w:highlight w:val="none"/>
        </w:rPr>
        <w:t>三、付款方式</w:t>
      </w:r>
      <w:bookmarkEnd w:id="73"/>
    </w:p>
    <w:p w14:paraId="518D949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采购人验收合格后，由供应商开具全额合同发票，采购人收到全额合同发票后，在10个工作日内一次性全额支付合同款项。</w:t>
      </w:r>
    </w:p>
    <w:p w14:paraId="3F8AFE23">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4" w:name="_Toc21090"/>
      <w:bookmarkStart w:id="75" w:name="_Toc76462331"/>
      <w:bookmarkStart w:id="76" w:name="_Toc16689"/>
      <w:bookmarkStart w:id="77" w:name="_Toc106030886"/>
      <w:bookmarkStart w:id="78" w:name="_Toc344475124"/>
      <w:r>
        <w:rPr>
          <w:rFonts w:hint="eastAsia" w:asciiTheme="minorEastAsia" w:hAnsiTheme="minorEastAsia" w:eastAsiaTheme="minorEastAsia" w:cstheme="minorEastAsia"/>
          <w:color w:val="auto"/>
          <w:sz w:val="24"/>
          <w:highlight w:val="none"/>
        </w:rPr>
        <w:t>四、服务质量保障</w:t>
      </w:r>
      <w:bookmarkEnd w:id="74"/>
    </w:p>
    <w:p w14:paraId="23BAC7A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成片经验收交付后半年内提供</w:t>
      </w:r>
      <w:r>
        <w:rPr>
          <w:rFonts w:hint="eastAsia" w:asciiTheme="minorEastAsia" w:hAnsiTheme="minorEastAsia" w:eastAsiaTheme="minorEastAsia" w:cstheme="minorEastAsia"/>
          <w:color w:val="auto"/>
          <w:sz w:val="24"/>
          <w:szCs w:val="24"/>
          <w:highlight w:val="none"/>
          <w:lang w:val="en-US" w:eastAsia="zh-CN"/>
        </w:rPr>
        <w:t>免费修改</w:t>
      </w:r>
      <w:r>
        <w:rPr>
          <w:rFonts w:hint="eastAsia" w:asciiTheme="minorEastAsia" w:hAnsiTheme="minorEastAsia" w:eastAsiaTheme="minorEastAsia" w:cstheme="minorEastAsia"/>
          <w:color w:val="auto"/>
          <w:sz w:val="24"/>
          <w:szCs w:val="24"/>
          <w:highlight w:val="none"/>
        </w:rPr>
        <w:t>服务。</w:t>
      </w:r>
    </w:p>
    <w:p w14:paraId="4F8ACAA7">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9" w:name="_Toc8289"/>
      <w:r>
        <w:rPr>
          <w:rFonts w:hint="eastAsia" w:asciiTheme="minorEastAsia" w:hAnsiTheme="minorEastAsia" w:eastAsiaTheme="minorEastAsia" w:cstheme="minorEastAsia"/>
          <w:color w:val="auto"/>
          <w:sz w:val="24"/>
          <w:highlight w:val="none"/>
        </w:rPr>
        <w:t>五、知识产权</w:t>
      </w:r>
      <w:bookmarkEnd w:id="79"/>
    </w:p>
    <w:p w14:paraId="1A8D593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（一）采购人在中华人民共和国境内使用供应商提供的货物及服务时免受第三方提出的侵犯其专利权或其它知识产权的起诉。如果第三方提出侵权指控，成交供应商应承担由此而引起的一切法律责任和费用。</w:t>
      </w:r>
    </w:p>
    <w:p w14:paraId="272D13D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）涉及软件开发等服务类项目知识产权的，知识产权归采购人所有。</w:t>
      </w:r>
    </w:p>
    <w:bookmarkEnd w:id="75"/>
    <w:bookmarkEnd w:id="76"/>
    <w:bookmarkEnd w:id="77"/>
    <w:bookmarkEnd w:id="78"/>
    <w:p w14:paraId="075E0595">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0" w:name="_Toc17873"/>
      <w:r>
        <w:rPr>
          <w:rFonts w:hint="eastAsia" w:asciiTheme="minorEastAsia" w:hAnsiTheme="minorEastAsia" w:eastAsiaTheme="minorEastAsia" w:cstheme="minorEastAsia"/>
          <w:color w:val="auto"/>
          <w:sz w:val="24"/>
          <w:highlight w:val="none"/>
        </w:rPr>
        <w:t>六、其他</w:t>
      </w:r>
      <w:bookmarkEnd w:id="80"/>
    </w:p>
    <w:p w14:paraId="3D08D1A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14:paraId="165F3003">
      <w:pPr>
        <w:snapToGrid w:val="0"/>
        <w:spacing w:line="400" w:lineRule="exact"/>
        <w:ind w:firstLine="540"/>
        <w:rPr>
          <w:rFonts w:hint="eastAsia" w:asciiTheme="minorEastAsia" w:hAnsiTheme="minorEastAsia" w:eastAsiaTheme="minorEastAsia" w:cstheme="minorEastAsia"/>
          <w:color w:val="auto"/>
          <w:sz w:val="24"/>
          <w:szCs w:val="24"/>
          <w:highlight w:val="none"/>
        </w:rPr>
      </w:pPr>
    </w:p>
    <w:p w14:paraId="5CC195BD">
      <w:pPr>
        <w:pStyle w:val="4"/>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1" w:name="_Toc106030887"/>
      <w:bookmarkEnd w:id="81"/>
      <w:bookmarkStart w:id="82" w:name="_Toc9477"/>
      <w:bookmarkEnd w:id="82"/>
      <w:bookmarkStart w:id="83" w:name="_Toc76462332"/>
      <w:bookmarkEnd w:id="83"/>
      <w:bookmarkStart w:id="84" w:name="_Toc22375"/>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4"/>
    </w:p>
    <w:p w14:paraId="099A6BC6">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5" w:name="_Toc106030888"/>
      <w:bookmarkEnd w:id="85"/>
      <w:bookmarkStart w:id="86" w:name="_Toc76462333"/>
      <w:bookmarkEnd w:id="86"/>
      <w:bookmarkStart w:id="87" w:name="_Toc19981"/>
      <w:bookmarkEnd w:id="87"/>
      <w:bookmarkStart w:id="88" w:name="_Toc19557"/>
      <w:r>
        <w:rPr>
          <w:rFonts w:hint="eastAsia" w:asciiTheme="minorEastAsia" w:hAnsiTheme="minorEastAsia" w:eastAsiaTheme="minorEastAsia" w:cstheme="minorEastAsia"/>
          <w:color w:val="auto"/>
          <w:sz w:val="24"/>
          <w:highlight w:val="none"/>
        </w:rPr>
        <w:t>一、磋商程序及方法</w:t>
      </w:r>
      <w:bookmarkEnd w:id="88"/>
    </w:p>
    <w:p w14:paraId="042544E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14:paraId="24D2023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27AB510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7"/>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8"/>
        <w:gridCol w:w="4984"/>
      </w:tblGrid>
      <w:tr w14:paraId="7B1B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top w:val="single" w:color="auto" w:sz="4" w:space="0"/>
              <w:left w:val="single" w:color="auto" w:sz="4" w:space="0"/>
              <w:bottom w:val="single" w:color="auto" w:sz="4" w:space="0"/>
              <w:right w:val="single" w:color="auto" w:sz="4" w:space="0"/>
            </w:tcBorders>
            <w:vAlign w:val="center"/>
          </w:tcPr>
          <w:p w14:paraId="724FF545">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0814AB6">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1D55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7645AD9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基本资格条件</w:t>
            </w:r>
          </w:p>
        </w:tc>
        <w:tc>
          <w:tcPr>
            <w:tcW w:w="3118" w:type="dxa"/>
            <w:vAlign w:val="center"/>
          </w:tcPr>
          <w:p w14:paraId="6A21079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14:paraId="102C28C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9264C9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475E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26BD252">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5D70773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14:paraId="3E9A7A9B">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6FE5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CE041B4">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12454560">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14:paraId="06832315">
            <w:pPr>
              <w:rPr>
                <w:rFonts w:hint="eastAsia" w:asciiTheme="minorEastAsia" w:hAnsiTheme="minorEastAsia" w:eastAsiaTheme="minorEastAsia" w:cstheme="minorEastAsia"/>
                <w:color w:val="auto"/>
                <w:sz w:val="21"/>
                <w:szCs w:val="21"/>
                <w:highlight w:val="none"/>
              </w:rPr>
            </w:pPr>
          </w:p>
        </w:tc>
      </w:tr>
      <w:tr w14:paraId="3014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75450C5">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58AB74CD">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14:paraId="44ACB124">
            <w:pPr>
              <w:rPr>
                <w:rFonts w:hint="eastAsia" w:asciiTheme="minorEastAsia" w:hAnsiTheme="minorEastAsia" w:eastAsiaTheme="minorEastAsia" w:cstheme="minorEastAsia"/>
                <w:color w:val="auto"/>
                <w:sz w:val="21"/>
                <w:szCs w:val="21"/>
                <w:highlight w:val="none"/>
              </w:rPr>
            </w:pPr>
          </w:p>
        </w:tc>
      </w:tr>
      <w:tr w14:paraId="7DF3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20BE373C">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3C59AD2C">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4984" w:type="dxa"/>
            <w:vMerge w:val="continue"/>
            <w:vAlign w:val="center"/>
          </w:tcPr>
          <w:p w14:paraId="5755498C">
            <w:pPr>
              <w:rPr>
                <w:rFonts w:hint="eastAsia" w:asciiTheme="minorEastAsia" w:hAnsiTheme="minorEastAsia" w:eastAsiaTheme="minorEastAsia" w:cstheme="minorEastAsia"/>
                <w:b/>
                <w:color w:val="auto"/>
                <w:sz w:val="21"/>
                <w:szCs w:val="21"/>
                <w:highlight w:val="none"/>
              </w:rPr>
            </w:pPr>
          </w:p>
        </w:tc>
      </w:tr>
      <w:tr w14:paraId="79E7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14:paraId="7FCA0B66">
            <w:pPr>
              <w:rPr>
                <w:rFonts w:hint="eastAsia" w:asciiTheme="minorEastAsia" w:hAnsiTheme="minorEastAsia" w:eastAsiaTheme="minorEastAsia" w:cstheme="minorEastAsia"/>
                <w:color w:val="auto"/>
                <w:sz w:val="21"/>
                <w:szCs w:val="21"/>
                <w:highlight w:val="none"/>
              </w:rPr>
            </w:pPr>
          </w:p>
        </w:tc>
        <w:tc>
          <w:tcPr>
            <w:tcW w:w="3118" w:type="dxa"/>
            <w:vAlign w:val="center"/>
          </w:tcPr>
          <w:p w14:paraId="0524364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14:paraId="5942FCC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1C96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14:paraId="45776E1E">
            <w:pPr>
              <w:rPr>
                <w:rFonts w:hint="eastAsia" w:asciiTheme="minorEastAsia" w:hAnsiTheme="minorEastAsia" w:eastAsiaTheme="minorEastAsia" w:cstheme="minorEastAsia"/>
                <w:color w:val="auto"/>
                <w:sz w:val="21"/>
                <w:szCs w:val="21"/>
                <w:highlight w:val="none"/>
              </w:rPr>
            </w:pPr>
          </w:p>
        </w:tc>
        <w:tc>
          <w:tcPr>
            <w:tcW w:w="3118" w:type="dxa"/>
            <w:vAlign w:val="center"/>
          </w:tcPr>
          <w:p w14:paraId="11C842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vAlign w:val="center"/>
          </w:tcPr>
          <w:p w14:paraId="4AA44FC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7CC6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827" w:type="dxa"/>
            <w:gridSpan w:val="2"/>
            <w:vAlign w:val="center"/>
          </w:tcPr>
          <w:p w14:paraId="4AE56BA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4984" w:type="dxa"/>
            <w:vAlign w:val="center"/>
          </w:tcPr>
          <w:p w14:paraId="5E5EFAB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按照磋商文件要求足额缴纳参选保证金。</w:t>
            </w:r>
          </w:p>
        </w:tc>
      </w:tr>
    </w:tbl>
    <w:p w14:paraId="5D18AF1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14:paraId="1700D4C1">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6B9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5EE9EB9">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14:paraId="7E4BD1EE">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14:paraId="3DC1968A">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0C0F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382EEFE">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14:paraId="11174EE2">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14:paraId="4639E7F4">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14:paraId="368449CB">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14:paraId="7078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1B3F281">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7F6B1F5E">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4B9F578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14:paraId="3AEEA68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14:paraId="467E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A652F62">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26D79699">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37B936D0">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14:paraId="57788B2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6D9E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FEADF2B">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208062EB">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785F933B">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14:paraId="05A031AD">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32B2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3F14282">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14:paraId="09916DA4">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14:paraId="2B27DC29">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14:paraId="3335D17C">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2671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D09415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14:paraId="671C1CF0">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14:paraId="3C8F12E8">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14:paraId="57D52173">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对竞争性磋商文件第二篇和第三篇的全部内容及要求作出非负偏离响应。</w:t>
            </w:r>
          </w:p>
        </w:tc>
      </w:tr>
      <w:tr w14:paraId="3227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E761FF1">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74B45A28">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14:paraId="45F3A92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14:paraId="2FAD9B2F">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2067BE9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14:paraId="4706E45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71EC3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380C0D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1D71F80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845FAA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6FAE33D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90757B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人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79BB9E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成交候选人，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成交候选人资格）</w:t>
      </w:r>
    </w:p>
    <w:p w14:paraId="2DB2061E">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9" w:name="_Toc106030889"/>
      <w:bookmarkEnd w:id="89"/>
      <w:bookmarkStart w:id="90" w:name="_Toc24604"/>
      <w:bookmarkEnd w:id="90"/>
      <w:bookmarkStart w:id="91" w:name="_Toc76462334"/>
      <w:bookmarkEnd w:id="91"/>
      <w:bookmarkStart w:id="92" w:name="_Toc8665"/>
      <w:bookmarkStart w:id="93" w:name="_Toc102227320"/>
      <w:bookmarkStart w:id="94" w:name="_Toc342913394"/>
      <w:r>
        <w:rPr>
          <w:rFonts w:hint="eastAsia" w:asciiTheme="minorEastAsia" w:hAnsiTheme="minorEastAsia" w:eastAsiaTheme="minorEastAsia" w:cstheme="minorEastAsia"/>
          <w:color w:val="auto"/>
          <w:sz w:val="24"/>
          <w:highlight w:val="none"/>
        </w:rPr>
        <w:t>二、评审标准</w:t>
      </w:r>
      <w:bookmarkEnd w:id="92"/>
    </w:p>
    <w:tbl>
      <w:tblPr>
        <w:tblStyle w:val="5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73"/>
        <w:gridCol w:w="1087"/>
        <w:gridCol w:w="4660"/>
        <w:gridCol w:w="1950"/>
      </w:tblGrid>
      <w:tr w14:paraId="6DC0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noWrap w:val="0"/>
            <w:vAlign w:val="center"/>
          </w:tcPr>
          <w:p w14:paraId="50C00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bookmarkStart w:id="95" w:name="_Toc8811"/>
            <w:bookmarkEnd w:id="95"/>
            <w:bookmarkStart w:id="96" w:name="_Toc76462335"/>
            <w:bookmarkEnd w:id="96"/>
            <w:bookmarkStart w:id="97" w:name="_Toc106030890"/>
            <w:bookmarkEnd w:id="97"/>
            <w:r>
              <w:rPr>
                <w:rFonts w:hint="eastAsia" w:asciiTheme="minorEastAsia" w:hAnsiTheme="minorEastAsia" w:eastAsiaTheme="minorEastAsia" w:cstheme="minorEastAsia"/>
                <w:b/>
                <w:color w:val="auto"/>
                <w:sz w:val="21"/>
                <w:szCs w:val="21"/>
                <w:highlight w:val="none"/>
              </w:rPr>
              <w:t>序号</w:t>
            </w:r>
          </w:p>
        </w:tc>
        <w:tc>
          <w:tcPr>
            <w:tcW w:w="1073" w:type="dxa"/>
            <w:noWrap w:val="0"/>
            <w:vAlign w:val="center"/>
          </w:tcPr>
          <w:p w14:paraId="21A4F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评分因素及权值</w:t>
            </w:r>
          </w:p>
        </w:tc>
        <w:tc>
          <w:tcPr>
            <w:tcW w:w="1087" w:type="dxa"/>
            <w:noWrap w:val="0"/>
            <w:vAlign w:val="center"/>
          </w:tcPr>
          <w:p w14:paraId="268C8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4660" w:type="dxa"/>
            <w:noWrap w:val="0"/>
            <w:vAlign w:val="center"/>
          </w:tcPr>
          <w:p w14:paraId="606CD8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c>
          <w:tcPr>
            <w:tcW w:w="1950" w:type="dxa"/>
            <w:noWrap w:val="0"/>
            <w:vAlign w:val="center"/>
          </w:tcPr>
          <w:p w14:paraId="1A1D59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说明</w:t>
            </w:r>
          </w:p>
        </w:tc>
      </w:tr>
      <w:tr w14:paraId="4087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noWrap w:val="0"/>
            <w:vAlign w:val="center"/>
          </w:tcPr>
          <w:p w14:paraId="3FA5F9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73" w:type="dxa"/>
            <w:noWrap w:val="0"/>
            <w:vAlign w:val="center"/>
          </w:tcPr>
          <w:p w14:paraId="024C1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磋商报价</w:t>
            </w:r>
          </w:p>
          <w:p w14:paraId="592E6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p>
        </w:tc>
        <w:tc>
          <w:tcPr>
            <w:tcW w:w="1087" w:type="dxa"/>
            <w:noWrap w:val="0"/>
            <w:vAlign w:val="center"/>
          </w:tcPr>
          <w:p w14:paraId="4891BF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分</w:t>
            </w:r>
          </w:p>
        </w:tc>
        <w:tc>
          <w:tcPr>
            <w:tcW w:w="4660" w:type="dxa"/>
            <w:noWrap w:val="0"/>
            <w:vAlign w:val="center"/>
          </w:tcPr>
          <w:p w14:paraId="424C8C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w:t>
            </w:r>
            <w:r>
              <w:rPr>
                <w:rFonts w:hint="eastAsia" w:asciiTheme="minorEastAsia" w:hAnsiTheme="minorEastAsia" w:eastAsiaTheme="minorEastAsia" w:cstheme="minorEastAsia"/>
                <w:color w:val="auto"/>
                <w:sz w:val="21"/>
                <w:szCs w:val="21"/>
                <w:highlight w:val="none"/>
                <w:lang w:val="en-US" w:eastAsia="zh-CN"/>
              </w:rPr>
              <w:t>磋商文件</w:t>
            </w:r>
            <w:r>
              <w:rPr>
                <w:rFonts w:hint="eastAsia" w:asciiTheme="minorEastAsia" w:hAnsiTheme="minorEastAsia" w:eastAsiaTheme="minorEastAsia" w:cstheme="minorEastAsia"/>
                <w:color w:val="auto"/>
                <w:sz w:val="21"/>
                <w:szCs w:val="21"/>
                <w:highlight w:val="none"/>
              </w:rPr>
              <w:t>资格要求且报价最低的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的价格为</w:t>
            </w: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基准价，其价格分为满分。按照下列公式计算每个</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磋商报价</w:t>
            </w:r>
            <w:r>
              <w:rPr>
                <w:rFonts w:hint="eastAsia" w:asciiTheme="minorEastAsia" w:hAnsiTheme="minorEastAsia" w:eastAsiaTheme="minorEastAsia" w:cstheme="minorEastAsia"/>
                <w:color w:val="auto"/>
                <w:sz w:val="21"/>
                <w:szCs w:val="21"/>
                <w:highlight w:val="none"/>
              </w:rPr>
              <w:t>得分。</w:t>
            </w:r>
            <w:r>
              <w:rPr>
                <w:rFonts w:hint="eastAsia" w:asciiTheme="minorEastAsia" w:hAnsiTheme="minorEastAsia" w:eastAsiaTheme="minorEastAsia" w:cstheme="minorEastAsia"/>
                <w:color w:val="auto"/>
                <w:sz w:val="21"/>
                <w:szCs w:val="21"/>
                <w:highlight w:val="none"/>
                <w:lang w:val="en-US" w:eastAsia="zh-CN"/>
              </w:rPr>
              <w:t>磋商报价</w:t>
            </w:r>
            <w:r>
              <w:rPr>
                <w:rFonts w:hint="eastAsia" w:asciiTheme="minorEastAsia" w:hAnsiTheme="minorEastAsia" w:eastAsiaTheme="minorEastAsia" w:cstheme="minorEastAsia"/>
                <w:color w:val="auto"/>
                <w:sz w:val="21"/>
                <w:szCs w:val="21"/>
                <w:highlight w:val="none"/>
              </w:rPr>
              <w:t>得分=（</w:t>
            </w: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基准价/</w:t>
            </w:r>
            <w:r>
              <w:rPr>
                <w:rFonts w:hint="eastAsia" w:asciiTheme="minorEastAsia" w:hAnsiTheme="minorEastAsia" w:eastAsiaTheme="minorEastAsia" w:cstheme="minorEastAsia"/>
                <w:color w:val="auto"/>
                <w:sz w:val="21"/>
                <w:szCs w:val="21"/>
                <w:highlight w:val="none"/>
                <w:lang w:val="en-US" w:eastAsia="zh-CN"/>
              </w:rPr>
              <w:t>磋商报价</w:t>
            </w:r>
            <w:r>
              <w:rPr>
                <w:rFonts w:hint="eastAsia" w:asciiTheme="minorEastAsia" w:hAnsiTheme="minorEastAsia" w:eastAsiaTheme="minorEastAsia" w:cstheme="minorEastAsia"/>
                <w:color w:val="auto"/>
                <w:sz w:val="21"/>
                <w:szCs w:val="21"/>
                <w:highlight w:val="none"/>
              </w:rPr>
              <w:t>）×价格权值×100。</w:t>
            </w:r>
          </w:p>
        </w:tc>
        <w:tc>
          <w:tcPr>
            <w:tcW w:w="1950" w:type="dxa"/>
            <w:noWrap w:val="0"/>
            <w:vAlign w:val="center"/>
          </w:tcPr>
          <w:p w14:paraId="34A56F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评分计算过程中，按四舍五入原则保留小数点后两位进行计算。</w:t>
            </w:r>
          </w:p>
        </w:tc>
      </w:tr>
      <w:tr w14:paraId="3BF5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vMerge w:val="restart"/>
            <w:noWrap w:val="0"/>
            <w:vAlign w:val="center"/>
          </w:tcPr>
          <w:p w14:paraId="2A533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073" w:type="dxa"/>
            <w:vMerge w:val="restart"/>
            <w:noWrap w:val="0"/>
            <w:vAlign w:val="center"/>
          </w:tcPr>
          <w:p w14:paraId="13DF78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服务部分</w:t>
            </w:r>
          </w:p>
          <w:p w14:paraId="5319C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80</w:t>
            </w:r>
            <w:r>
              <w:rPr>
                <w:rFonts w:hint="eastAsia" w:asciiTheme="minorEastAsia" w:hAnsiTheme="minorEastAsia" w:eastAsiaTheme="minorEastAsia" w:cstheme="minorEastAsia"/>
                <w:color w:val="auto"/>
                <w:sz w:val="21"/>
                <w:szCs w:val="21"/>
                <w:highlight w:val="none"/>
              </w:rPr>
              <w:t>%）</w:t>
            </w:r>
          </w:p>
        </w:tc>
        <w:tc>
          <w:tcPr>
            <w:tcW w:w="1087" w:type="dxa"/>
            <w:noWrap w:val="0"/>
            <w:vAlign w:val="center"/>
          </w:tcPr>
          <w:p w14:paraId="1BC938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w:t>
            </w:r>
          </w:p>
          <w:p w14:paraId="0A9539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（15分）</w:t>
            </w:r>
          </w:p>
        </w:tc>
        <w:tc>
          <w:tcPr>
            <w:tcW w:w="4660" w:type="dxa"/>
            <w:noWrap w:val="0"/>
            <w:vAlign w:val="center"/>
          </w:tcPr>
          <w:p w14:paraId="498A27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根据投标人对本项目的理解程度进行评审，包含但不限于：</w:t>
            </w:r>
          </w:p>
          <w:p w14:paraId="400797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（1）项目背景和现状；</w:t>
            </w:r>
          </w:p>
          <w:p w14:paraId="15C741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（2）项目目标和内容等。</w:t>
            </w:r>
          </w:p>
          <w:p w14:paraId="4F4668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投标文件内容齐全、科学合理，有针对性，符合项目实际情况且表述清晰有逻辑性的为“优”得15分；内容较齐全，有针对性，符合项目实际情况且表述清晰有逻辑性，但稍有不足的为“良”得11；方案符合项目情况，有针对性但逻辑性和表述有欠缺的，为“中”得7分；方案存在不符合项目实际情况或表述模糊无逻辑性的，为“差”得3分；未提供得0分。</w:t>
            </w:r>
          </w:p>
        </w:tc>
        <w:tc>
          <w:tcPr>
            <w:tcW w:w="1950" w:type="dxa"/>
            <w:vMerge w:val="restart"/>
            <w:noWrap w:val="0"/>
            <w:vAlign w:val="center"/>
          </w:tcPr>
          <w:p w14:paraId="48D069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投标人提供方案，格式自拟。</w:t>
            </w:r>
          </w:p>
          <w:p w14:paraId="0EFA7D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r>
      <w:tr w14:paraId="632B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vMerge w:val="continue"/>
            <w:noWrap w:val="0"/>
            <w:vAlign w:val="center"/>
          </w:tcPr>
          <w:p w14:paraId="08964B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073" w:type="dxa"/>
            <w:vMerge w:val="continue"/>
            <w:noWrap w:val="0"/>
            <w:vAlign w:val="center"/>
          </w:tcPr>
          <w:p w14:paraId="0CAD2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55F837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实施方案</w:t>
            </w:r>
          </w:p>
          <w:p w14:paraId="5ADF1B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（25分）</w:t>
            </w:r>
          </w:p>
        </w:tc>
        <w:tc>
          <w:tcPr>
            <w:tcW w:w="4660" w:type="dxa"/>
            <w:noWrap w:val="0"/>
            <w:vAlign w:val="center"/>
          </w:tcPr>
          <w:p w14:paraId="36B1B2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投标人根据本项目实际情况提供完整的实施方案，包含但不限于：</w:t>
            </w:r>
          </w:p>
          <w:p w14:paraId="3DDEC3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（1）整体拍摄制作方案；</w:t>
            </w:r>
          </w:p>
          <w:p w14:paraId="054876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（2）脚本构思；</w:t>
            </w:r>
          </w:p>
          <w:p w14:paraId="0FF8B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（3）质量保证措施；</w:t>
            </w:r>
          </w:p>
          <w:p w14:paraId="4A6D01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（4）项目操作流程；</w:t>
            </w:r>
          </w:p>
          <w:p w14:paraId="30A00F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（5）验收评估方案；</w:t>
            </w:r>
          </w:p>
          <w:p w14:paraId="1906E4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（6）采集难点及对应措施分析；</w:t>
            </w:r>
          </w:p>
          <w:p w14:paraId="3F65DB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（7）后期制作等。</w:t>
            </w:r>
          </w:p>
          <w:p w14:paraId="65500B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投标文件方案内容齐全、科学合理，脚本</w:t>
            </w:r>
            <w:r>
              <w:rPr>
                <w:rFonts w:hint="eastAsia" w:asciiTheme="minorEastAsia" w:hAnsiTheme="minorEastAsia" w:eastAsiaTheme="minorEastAsia" w:cstheme="minorEastAsia"/>
                <w:color w:val="auto"/>
                <w:sz w:val="21"/>
                <w:szCs w:val="21"/>
                <w:highlight w:val="none"/>
              </w:rPr>
              <w:t>构思突出</w:t>
            </w:r>
            <w:r>
              <w:rPr>
                <w:rFonts w:hint="eastAsia" w:asciiTheme="minorEastAsia" w:hAnsiTheme="minorEastAsia" w:eastAsiaTheme="minorEastAsia" w:cstheme="minorEastAsia"/>
                <w:color w:val="auto"/>
                <w:sz w:val="21"/>
                <w:szCs w:val="21"/>
                <w:highlight w:val="none"/>
                <w:lang w:val="en-US" w:eastAsia="zh-CN"/>
              </w:rPr>
              <w:t>项目宣传</w:t>
            </w:r>
            <w:r>
              <w:rPr>
                <w:rFonts w:hint="eastAsia" w:asciiTheme="minorEastAsia" w:hAnsiTheme="minorEastAsia" w:eastAsiaTheme="minorEastAsia" w:cstheme="minorEastAsia"/>
                <w:color w:val="auto"/>
                <w:sz w:val="21"/>
                <w:szCs w:val="21"/>
                <w:highlight w:val="none"/>
              </w:rPr>
              <w:t>特点，</w:t>
            </w:r>
            <w:r>
              <w:rPr>
                <w:rFonts w:hint="eastAsia" w:asciiTheme="minorEastAsia" w:hAnsiTheme="minorEastAsia" w:eastAsiaTheme="minorEastAsia" w:cstheme="minorEastAsia"/>
                <w:color w:val="auto"/>
                <w:sz w:val="21"/>
                <w:szCs w:val="21"/>
                <w:highlight w:val="none"/>
                <w:lang w:val="en-US" w:eastAsia="zh-CN"/>
              </w:rPr>
              <w:t>贴合主题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整体风格、表现形式</w:t>
            </w:r>
            <w:r>
              <w:rPr>
                <w:rFonts w:hint="eastAsia" w:asciiTheme="minorEastAsia" w:hAnsiTheme="minorEastAsia" w:eastAsiaTheme="minorEastAsia" w:cstheme="minorEastAsia"/>
                <w:color w:val="auto"/>
                <w:sz w:val="21"/>
                <w:szCs w:val="21"/>
                <w:highlight w:val="none"/>
                <w:lang w:val="en-US" w:eastAsia="zh-CN"/>
              </w:rPr>
              <w:t>符合实际情况且表述清晰有逻辑性的为“优”得25分；内容较齐全，方案科学合理，有针对性，脚本构思能</w:t>
            </w:r>
            <w:r>
              <w:rPr>
                <w:rFonts w:hint="eastAsia" w:asciiTheme="minorEastAsia" w:hAnsiTheme="minorEastAsia" w:eastAsiaTheme="minorEastAsia" w:cstheme="minorEastAsia"/>
                <w:color w:val="auto"/>
                <w:sz w:val="21"/>
                <w:szCs w:val="21"/>
                <w:highlight w:val="none"/>
              </w:rPr>
              <w:t>突出</w:t>
            </w:r>
            <w:r>
              <w:rPr>
                <w:rFonts w:hint="eastAsia" w:asciiTheme="minorEastAsia" w:hAnsiTheme="minorEastAsia" w:eastAsiaTheme="minorEastAsia" w:cstheme="minorEastAsia"/>
                <w:color w:val="auto"/>
                <w:sz w:val="21"/>
                <w:szCs w:val="21"/>
                <w:highlight w:val="none"/>
                <w:lang w:val="en-US" w:eastAsia="zh-CN"/>
              </w:rPr>
              <w:t>项目宣传</w:t>
            </w:r>
            <w:r>
              <w:rPr>
                <w:rFonts w:hint="eastAsia" w:asciiTheme="minorEastAsia" w:hAnsiTheme="minorEastAsia" w:eastAsiaTheme="minorEastAsia" w:cstheme="minorEastAsia"/>
                <w:color w:val="auto"/>
                <w:sz w:val="21"/>
                <w:szCs w:val="21"/>
                <w:highlight w:val="none"/>
              </w:rPr>
              <w:t>特点，</w:t>
            </w:r>
            <w:r>
              <w:rPr>
                <w:rFonts w:hint="eastAsia" w:asciiTheme="minorEastAsia" w:hAnsiTheme="minorEastAsia" w:eastAsiaTheme="minorEastAsia" w:cstheme="minorEastAsia"/>
                <w:color w:val="auto"/>
                <w:sz w:val="21"/>
                <w:szCs w:val="21"/>
                <w:highlight w:val="none"/>
                <w:lang w:val="en-US" w:eastAsia="zh-CN"/>
              </w:rPr>
              <w:t>贴合主题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整体风格、表现形式</w:t>
            </w:r>
            <w:r>
              <w:rPr>
                <w:rFonts w:hint="eastAsia" w:asciiTheme="minorEastAsia" w:hAnsiTheme="minorEastAsia" w:eastAsiaTheme="minorEastAsia" w:cstheme="minorEastAsia"/>
                <w:color w:val="auto"/>
                <w:sz w:val="21"/>
                <w:szCs w:val="21"/>
                <w:highlight w:val="none"/>
                <w:lang w:val="en-US" w:eastAsia="zh-CN"/>
              </w:rPr>
              <w:t>符合实际情况且表述清晰有逻辑性，但稍有不足的为“良”得20；方案符合项目情况，有针对性，脚本</w:t>
            </w:r>
            <w:r>
              <w:rPr>
                <w:rFonts w:hint="eastAsia" w:asciiTheme="minorEastAsia" w:hAnsiTheme="minorEastAsia" w:eastAsiaTheme="minorEastAsia" w:cstheme="minorEastAsia"/>
                <w:color w:val="auto"/>
                <w:sz w:val="21"/>
                <w:szCs w:val="21"/>
                <w:highlight w:val="none"/>
              </w:rPr>
              <w:t>构思</w:t>
            </w:r>
            <w:r>
              <w:rPr>
                <w:rFonts w:hint="eastAsia" w:asciiTheme="minorEastAsia" w:hAnsiTheme="minorEastAsia" w:eastAsiaTheme="minorEastAsia" w:cstheme="minorEastAsia"/>
                <w:color w:val="auto"/>
                <w:sz w:val="21"/>
                <w:szCs w:val="21"/>
                <w:highlight w:val="none"/>
                <w:lang w:val="en-US" w:eastAsia="zh-CN"/>
              </w:rPr>
              <w:t>贴合主题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整体风格、表现形式</w:t>
            </w:r>
            <w:r>
              <w:rPr>
                <w:rFonts w:hint="eastAsia" w:asciiTheme="minorEastAsia" w:hAnsiTheme="minorEastAsia" w:eastAsiaTheme="minorEastAsia" w:cstheme="minorEastAsia"/>
                <w:color w:val="auto"/>
                <w:sz w:val="21"/>
                <w:szCs w:val="21"/>
                <w:highlight w:val="none"/>
                <w:lang w:val="en-US" w:eastAsia="zh-CN"/>
              </w:rPr>
              <w:t>能符合实际情况但逻辑性和表述有欠缺的，为“中”得13分；方案存在不符合项目实际情况或表述模糊无逻辑性的，为“差”得6分；未提供得0分。</w:t>
            </w:r>
          </w:p>
        </w:tc>
        <w:tc>
          <w:tcPr>
            <w:tcW w:w="1950" w:type="dxa"/>
            <w:vMerge w:val="continue"/>
            <w:noWrap w:val="0"/>
            <w:vAlign w:val="center"/>
          </w:tcPr>
          <w:p w14:paraId="51C696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r>
      <w:tr w14:paraId="0071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vMerge w:val="continue"/>
            <w:noWrap w:val="0"/>
            <w:vAlign w:val="center"/>
          </w:tcPr>
          <w:p w14:paraId="07BFA2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c>
          <w:tcPr>
            <w:tcW w:w="1073" w:type="dxa"/>
            <w:vMerge w:val="continue"/>
            <w:noWrap w:val="0"/>
            <w:vAlign w:val="center"/>
          </w:tcPr>
          <w:p w14:paraId="058D08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41FC86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素材采集</w:t>
            </w:r>
          </w:p>
          <w:p w14:paraId="511916CC">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4660" w:type="dxa"/>
            <w:noWrap w:val="0"/>
            <w:vAlign w:val="center"/>
          </w:tcPr>
          <w:p w14:paraId="29D96F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投标人根据本项目实际情况提供完整的实施方案，包含但不限于：</w:t>
            </w:r>
          </w:p>
          <w:p w14:paraId="5867651B">
            <w:pPr>
              <w:keepNext w:val="0"/>
              <w:keepLines w:val="0"/>
              <w:pageBreakBefore w:val="0"/>
              <w:widowControl w:val="0"/>
              <w:numPr>
                <w:ilvl w:val="0"/>
                <w:numId w:val="14"/>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素材定位；</w:t>
            </w:r>
          </w:p>
          <w:p w14:paraId="250E8A05">
            <w:pPr>
              <w:keepNext w:val="0"/>
              <w:keepLines w:val="0"/>
              <w:pageBreakBefore w:val="0"/>
              <w:widowControl w:val="0"/>
              <w:numPr>
                <w:ilvl w:val="0"/>
                <w:numId w:val="14"/>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采集工作思路；</w:t>
            </w:r>
          </w:p>
          <w:p w14:paraId="2D957C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（3）质量保证措施。</w:t>
            </w:r>
          </w:p>
          <w:p w14:paraId="390A7B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内容齐全、科学合理，有针对性，符合项目实际情况，素材品质优异且方案表述清晰的为“优”得10分；内容较齐全，科学合理，有针对性，符合项目实际情况且表述清晰，但稍有不足的为“良”得7；方案符合项目情况，有针对性但表述有欠缺的，为“中”得4分；方案存在不符合项目实际情况或表述模糊无逻辑性的，为“差”得1分；未提供0分。</w:t>
            </w:r>
          </w:p>
        </w:tc>
        <w:tc>
          <w:tcPr>
            <w:tcW w:w="1950" w:type="dxa"/>
            <w:vMerge w:val="continue"/>
            <w:noWrap w:val="0"/>
            <w:vAlign w:val="center"/>
          </w:tcPr>
          <w:p w14:paraId="59413C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p>
        </w:tc>
      </w:tr>
      <w:tr w14:paraId="7C6A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vMerge w:val="continue"/>
            <w:noWrap w:val="0"/>
            <w:vAlign w:val="center"/>
          </w:tcPr>
          <w:p w14:paraId="768F2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073" w:type="dxa"/>
            <w:vMerge w:val="continue"/>
            <w:noWrap w:val="0"/>
            <w:vAlign w:val="center"/>
          </w:tcPr>
          <w:p w14:paraId="57408F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2EF599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团队</w:t>
            </w:r>
            <w:r>
              <w:rPr>
                <w:rFonts w:hint="eastAsia" w:asciiTheme="minorEastAsia" w:hAnsiTheme="minorEastAsia" w:eastAsiaTheme="minorEastAsia" w:cstheme="minorEastAsia"/>
                <w:color w:val="auto"/>
                <w:sz w:val="21"/>
                <w:szCs w:val="21"/>
                <w:highlight w:val="none"/>
                <w:lang w:val="en-US" w:eastAsia="zh-CN"/>
              </w:rPr>
              <w:t>架构</w:t>
            </w:r>
          </w:p>
          <w:p w14:paraId="27206A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（20分）</w:t>
            </w:r>
          </w:p>
        </w:tc>
        <w:tc>
          <w:tcPr>
            <w:tcW w:w="4660" w:type="dxa"/>
            <w:noWrap w:val="0"/>
            <w:vAlign w:val="center"/>
          </w:tcPr>
          <w:p w14:paraId="763055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投标人需针对本项目提供服务团队方案，要求团队架构合理、人员配备齐全，方案内容包括但不限于：</w:t>
            </w:r>
          </w:p>
          <w:p w14:paraId="45267D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）整体</w:t>
            </w:r>
            <w:r>
              <w:rPr>
                <w:rFonts w:hint="eastAsia" w:asciiTheme="minorEastAsia" w:hAnsiTheme="minorEastAsia" w:eastAsiaTheme="minorEastAsia" w:cstheme="minorEastAsia"/>
                <w:color w:val="auto"/>
                <w:sz w:val="21"/>
                <w:szCs w:val="21"/>
                <w:highlight w:val="none"/>
                <w:lang w:val="en-US" w:eastAsia="zh-CN"/>
              </w:rPr>
              <w:t>团队</w:t>
            </w:r>
            <w:r>
              <w:rPr>
                <w:rFonts w:hint="eastAsia" w:asciiTheme="minorEastAsia" w:hAnsiTheme="minorEastAsia" w:eastAsiaTheme="minorEastAsia" w:cstheme="minorEastAsia"/>
                <w:color w:val="auto"/>
                <w:sz w:val="21"/>
                <w:szCs w:val="21"/>
                <w:highlight w:val="none"/>
                <w:lang w:val="zh-CN" w:eastAsia="zh-CN"/>
              </w:rPr>
              <w:t>结构；</w:t>
            </w:r>
          </w:p>
          <w:p w14:paraId="509134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）服务人员配置及岗位职责，人员具备与本项目</w:t>
            </w:r>
            <w:r>
              <w:rPr>
                <w:rFonts w:hint="eastAsia" w:asciiTheme="minorEastAsia" w:hAnsiTheme="minorEastAsia" w:eastAsiaTheme="minorEastAsia" w:cstheme="minorEastAsia"/>
                <w:color w:val="auto"/>
                <w:sz w:val="21"/>
                <w:szCs w:val="21"/>
                <w:highlight w:val="none"/>
                <w:lang w:eastAsia="zh-CN"/>
              </w:rPr>
              <w:t>岗位</w:t>
            </w:r>
            <w:r>
              <w:rPr>
                <w:rFonts w:hint="eastAsia" w:asciiTheme="minorEastAsia" w:hAnsiTheme="minorEastAsia" w:eastAsiaTheme="minorEastAsia" w:cstheme="minorEastAsia"/>
                <w:color w:val="auto"/>
                <w:sz w:val="21"/>
                <w:szCs w:val="21"/>
                <w:highlight w:val="none"/>
                <w:lang w:val="zh-CN" w:eastAsia="zh-CN"/>
              </w:rPr>
              <w:t>相关的专业技术职称资格证书；</w:t>
            </w:r>
          </w:p>
          <w:p w14:paraId="5FA1AA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投标文件内容齐全、团队设置科学合理，摄制团队成员具备相关资质，专业能力强，整体方案有针对性，符合项目实际情况且表述清晰为“</w:t>
            </w:r>
            <w:r>
              <w:rPr>
                <w:rFonts w:hint="eastAsia" w:asciiTheme="minorEastAsia" w:hAnsiTheme="minorEastAsia" w:eastAsiaTheme="minorEastAsia" w:cstheme="minorEastAsia"/>
                <w:color w:val="auto"/>
                <w:sz w:val="21"/>
                <w:szCs w:val="21"/>
                <w:highlight w:val="none"/>
                <w:lang w:eastAsia="zh-CN"/>
              </w:rPr>
              <w:t>优”，</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lang w:eastAsia="zh-CN"/>
              </w:rPr>
              <w:t>20分</w:t>
            </w:r>
            <w:r>
              <w:rPr>
                <w:rFonts w:hint="eastAsia" w:asciiTheme="minorEastAsia" w:hAnsiTheme="minorEastAsia" w:eastAsiaTheme="minorEastAsia" w:cstheme="minorEastAsia"/>
                <w:color w:val="auto"/>
                <w:sz w:val="21"/>
                <w:szCs w:val="21"/>
                <w:highlight w:val="none"/>
                <w:lang w:val="en-US" w:eastAsia="zh-CN"/>
              </w:rPr>
              <w:t>；投标文件内容较齐全、团队设置较科学合理，摄制团队成员具备相关资质，专业能力较强，整体方案有针对性，符合项目实际情况且表述清晰，但稍有不足为“良”，得15</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eastAsiaTheme="minorEastAsia" w:cstheme="minorEastAsia"/>
                <w:color w:val="auto"/>
                <w:sz w:val="21"/>
                <w:szCs w:val="21"/>
                <w:highlight w:val="none"/>
                <w:lang w:val="en-US" w:eastAsia="zh-CN"/>
              </w:rPr>
              <w:t>；投标文件内容较齐全、团队设置较为合理，摄制团队成员具备相关资质，但专业能力一般为“中”，得10分；投标文件内容较齐全、团队设置有欠缺，摄制团队成员不完全具备相关资质为“</w:t>
            </w:r>
            <w:r>
              <w:rPr>
                <w:rFonts w:hint="eastAsia" w:asciiTheme="minorEastAsia" w:hAnsiTheme="minorEastAsia" w:eastAsiaTheme="minorEastAsia" w:cstheme="minorEastAsia"/>
                <w:color w:val="auto"/>
                <w:sz w:val="21"/>
                <w:szCs w:val="21"/>
                <w:highlight w:val="none"/>
                <w:lang w:eastAsia="zh-CN"/>
              </w:rPr>
              <w:t>差”，</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lang w:eastAsia="zh-CN"/>
              </w:rPr>
              <w:t>5分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未提供得0分。</w:t>
            </w:r>
          </w:p>
        </w:tc>
        <w:tc>
          <w:tcPr>
            <w:tcW w:w="1950" w:type="dxa"/>
            <w:vMerge w:val="continue"/>
            <w:noWrap w:val="0"/>
            <w:vAlign w:val="center"/>
          </w:tcPr>
          <w:p w14:paraId="291B8C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r>
      <w:tr w14:paraId="745B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vMerge w:val="continue"/>
            <w:noWrap w:val="0"/>
            <w:vAlign w:val="center"/>
          </w:tcPr>
          <w:p w14:paraId="2351A2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073" w:type="dxa"/>
            <w:vMerge w:val="continue"/>
            <w:noWrap w:val="0"/>
            <w:vAlign w:val="center"/>
          </w:tcPr>
          <w:p w14:paraId="02A89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08926A72">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项目管理方案</w:t>
            </w:r>
          </w:p>
          <w:p w14:paraId="6D5958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zh-CN"/>
              </w:rPr>
              <w:t>（10分）</w:t>
            </w:r>
          </w:p>
        </w:tc>
        <w:tc>
          <w:tcPr>
            <w:tcW w:w="4660" w:type="dxa"/>
            <w:noWrap w:val="0"/>
            <w:vAlign w:val="center"/>
          </w:tcPr>
          <w:p w14:paraId="444E83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根据投标人针对本项目制定的项目管理方案进行评审，包含但不限于：</w:t>
            </w:r>
          </w:p>
          <w:p w14:paraId="22D325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（1）投入的人员安全管控</w:t>
            </w:r>
            <w:r>
              <w:rPr>
                <w:rFonts w:hint="eastAsia" w:asciiTheme="minorEastAsia" w:hAnsiTheme="minorEastAsia" w:eastAsiaTheme="minorEastAsia" w:cstheme="minorEastAsia"/>
                <w:color w:val="auto"/>
                <w:sz w:val="21"/>
                <w:szCs w:val="21"/>
                <w:highlight w:val="none"/>
                <w:lang w:val="en-US" w:eastAsia="zh-CN"/>
              </w:rPr>
              <w:t>；</w:t>
            </w:r>
          </w:p>
          <w:p w14:paraId="101F38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（2）安全保障措施；</w:t>
            </w:r>
          </w:p>
          <w:p w14:paraId="62B9D9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（3）数据资料保密措施等。</w:t>
            </w:r>
          </w:p>
          <w:p w14:paraId="7A0EE6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zh-CN" w:eastAsia="zh-CN"/>
              </w:rPr>
              <w:t>投标文件内容齐全、科学合理，有针对性，符合项目实际情况且表述清晰有逻辑性的为“优”得10分；内容较齐全，方案科学合理，有针对性，符合项目实际情况且表述清晰有逻辑性，但稍有不足的为“良”得7；方案符合项目情况，有针对性但逻辑性和表述有欠缺的，为“中”得4分；方案存在不符合项目实际情况或表述模糊无逻辑性的，为“差”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分；未提供得0分。</w:t>
            </w:r>
          </w:p>
        </w:tc>
        <w:tc>
          <w:tcPr>
            <w:tcW w:w="1950" w:type="dxa"/>
            <w:vMerge w:val="continue"/>
            <w:noWrap w:val="0"/>
            <w:vAlign w:val="center"/>
          </w:tcPr>
          <w:p w14:paraId="3BBBA9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p>
        </w:tc>
      </w:tr>
      <w:tr w14:paraId="09D5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tcBorders>
              <w:top w:val="single" w:color="auto" w:sz="4" w:space="0"/>
              <w:left w:val="single" w:color="auto" w:sz="4" w:space="0"/>
              <w:right w:val="single" w:color="auto" w:sz="4" w:space="0"/>
            </w:tcBorders>
            <w:noWrap w:val="0"/>
            <w:vAlign w:val="center"/>
          </w:tcPr>
          <w:p w14:paraId="3B6A45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73" w:type="dxa"/>
            <w:tcBorders>
              <w:top w:val="single" w:color="auto" w:sz="4" w:space="0"/>
              <w:left w:val="single" w:color="auto" w:sz="4" w:space="0"/>
              <w:right w:val="single" w:color="auto" w:sz="4" w:space="0"/>
            </w:tcBorders>
            <w:noWrap w:val="0"/>
            <w:vAlign w:val="center"/>
          </w:tcPr>
          <w:p w14:paraId="2E933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p>
          <w:p w14:paraId="2DE8E3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p>
        </w:tc>
        <w:tc>
          <w:tcPr>
            <w:tcW w:w="1087" w:type="dxa"/>
            <w:tcBorders>
              <w:top w:val="single" w:color="auto" w:sz="4" w:space="0"/>
              <w:left w:val="single" w:color="auto" w:sz="4" w:space="0"/>
              <w:right w:val="single" w:color="auto" w:sz="4" w:space="0"/>
            </w:tcBorders>
            <w:noWrap w:val="0"/>
            <w:vAlign w:val="center"/>
          </w:tcPr>
          <w:p w14:paraId="643BCF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4660" w:type="dxa"/>
            <w:tcBorders>
              <w:top w:val="single" w:color="auto" w:sz="4" w:space="0"/>
              <w:left w:val="single" w:color="auto" w:sz="4" w:space="0"/>
              <w:bottom w:val="single" w:color="auto" w:sz="4" w:space="0"/>
              <w:right w:val="single" w:color="auto" w:sz="4" w:space="0"/>
            </w:tcBorders>
            <w:noWrap w:val="0"/>
            <w:vAlign w:val="center"/>
          </w:tcPr>
          <w:p w14:paraId="1DA21C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zh-CN" w:eastAsia="zh-CN"/>
              </w:rPr>
              <w:t>201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年</w:t>
            </w:r>
            <w:r>
              <w:rPr>
                <w:rFonts w:hint="eastAsia" w:asciiTheme="minorEastAsia" w:hAnsiTheme="minorEastAsia" w:eastAsiaTheme="minorEastAsia" w:cstheme="minorEastAsia"/>
                <w:color w:val="auto"/>
                <w:sz w:val="21"/>
                <w:szCs w:val="21"/>
                <w:highlight w:val="none"/>
                <w:lang w:val="en-US" w:eastAsia="zh-CN"/>
              </w:rPr>
              <w:t>1月1日</w:t>
            </w:r>
            <w:r>
              <w:rPr>
                <w:rFonts w:hint="eastAsia" w:asciiTheme="minorEastAsia" w:hAnsiTheme="minorEastAsia" w:eastAsiaTheme="minorEastAsia" w:cstheme="minorEastAsia"/>
                <w:color w:val="auto"/>
                <w:sz w:val="21"/>
                <w:szCs w:val="21"/>
                <w:highlight w:val="none"/>
                <w:lang w:val="zh-CN" w:eastAsia="zh-CN"/>
              </w:rPr>
              <w:t>至今，供应商</w:t>
            </w:r>
            <w:r>
              <w:rPr>
                <w:rFonts w:hint="eastAsia" w:asciiTheme="minorEastAsia" w:hAnsiTheme="minorEastAsia" w:eastAsiaTheme="minorEastAsia" w:cstheme="minorEastAsia"/>
                <w:color w:val="auto"/>
                <w:sz w:val="21"/>
                <w:szCs w:val="21"/>
                <w:highlight w:val="none"/>
                <w:lang w:val="en-US" w:eastAsia="zh-CN"/>
              </w:rPr>
              <w:t>承接过行政部门、事业单位宣传视频制作</w:t>
            </w:r>
            <w:r>
              <w:rPr>
                <w:rFonts w:hint="eastAsia" w:asciiTheme="minorEastAsia" w:hAnsiTheme="minorEastAsia" w:eastAsiaTheme="minorEastAsia" w:cstheme="minorEastAsia"/>
                <w:color w:val="auto"/>
                <w:sz w:val="21"/>
                <w:szCs w:val="21"/>
                <w:highlight w:val="none"/>
                <w:lang w:val="zh-CN" w:eastAsia="zh-CN"/>
              </w:rPr>
              <w:t>的有一个得5分，</w:t>
            </w:r>
            <w:r>
              <w:rPr>
                <w:rFonts w:hint="eastAsia" w:asciiTheme="minorEastAsia" w:hAnsiTheme="minorEastAsia" w:eastAsiaTheme="minorEastAsia" w:cstheme="minorEastAsia"/>
                <w:color w:val="auto"/>
                <w:sz w:val="21"/>
                <w:szCs w:val="21"/>
                <w:highlight w:val="none"/>
                <w:lang w:val="en-US" w:eastAsia="zh-CN"/>
              </w:rPr>
              <w:t>两个及两个以上者得10</w:t>
            </w:r>
            <w:r>
              <w:rPr>
                <w:rFonts w:hint="eastAsia" w:asciiTheme="minorEastAsia" w:hAnsiTheme="minorEastAsia" w:eastAsiaTheme="minorEastAsia" w:cstheme="minorEastAsia"/>
                <w:color w:val="auto"/>
                <w:sz w:val="21"/>
                <w:szCs w:val="21"/>
                <w:highlight w:val="none"/>
                <w:lang w:val="zh-CN" w:eastAsia="zh-CN"/>
              </w:rPr>
              <w:t>分</w:t>
            </w:r>
            <w:r>
              <w:rPr>
                <w:rFonts w:hint="eastAsia" w:asciiTheme="minorEastAsia" w:hAnsiTheme="minorEastAsia" w:eastAsiaTheme="minorEastAsia" w:cstheme="minorEastAsia"/>
                <w:color w:val="auto"/>
                <w:sz w:val="21"/>
                <w:szCs w:val="21"/>
                <w:highlight w:val="none"/>
                <w:lang w:val="en-US" w:eastAsia="zh-CN"/>
              </w:rPr>
              <w:t>；无相关经验0分。</w:t>
            </w:r>
          </w:p>
        </w:tc>
        <w:tc>
          <w:tcPr>
            <w:tcW w:w="1950" w:type="dxa"/>
            <w:tcBorders>
              <w:top w:val="single" w:color="auto" w:sz="4" w:space="0"/>
              <w:left w:val="single" w:color="auto" w:sz="4" w:space="0"/>
              <w:right w:val="single" w:color="auto" w:sz="4" w:space="0"/>
            </w:tcBorders>
            <w:noWrap w:val="0"/>
            <w:vAlign w:val="center"/>
          </w:tcPr>
          <w:p w14:paraId="3B7DD4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val="en-US" w:eastAsia="zh-CN"/>
              </w:rPr>
              <w:t>业绩</w:t>
            </w: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协议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en-US" w:eastAsia="zh-CN"/>
              </w:rPr>
              <w:t>加盖供应商公章。</w:t>
            </w:r>
          </w:p>
        </w:tc>
      </w:tr>
    </w:tbl>
    <w:p w14:paraId="5C9C1394">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8" w:name="_Toc12067"/>
      <w:r>
        <w:rPr>
          <w:rFonts w:hint="eastAsia" w:asciiTheme="minorEastAsia" w:hAnsiTheme="minorEastAsia" w:eastAsiaTheme="minorEastAsia" w:cstheme="minorEastAsia"/>
          <w:color w:val="auto"/>
          <w:sz w:val="24"/>
          <w:highlight w:val="none"/>
        </w:rPr>
        <w:t>三、无效响应</w:t>
      </w:r>
      <w:bookmarkEnd w:id="98"/>
    </w:p>
    <w:p w14:paraId="6AA7FA71">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493FAD8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2AF1AE4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14B87CA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14:paraId="0493648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2584F9B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796CDDC9">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14:paraId="60854EF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7533701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5160D13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0A470C51">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14:paraId="62B03107">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（十一）法律、法规和竞争性磋商文件规定的其他无效情形。</w:t>
      </w:r>
    </w:p>
    <w:bookmarkEnd w:id="93"/>
    <w:bookmarkEnd w:id="94"/>
    <w:p w14:paraId="1C55BCD3">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9" w:name="_Toc76462336"/>
      <w:bookmarkEnd w:id="99"/>
      <w:bookmarkStart w:id="100" w:name="_Toc21054"/>
      <w:bookmarkEnd w:id="100"/>
      <w:bookmarkStart w:id="101" w:name="_Toc106030891"/>
      <w:bookmarkEnd w:id="101"/>
      <w:bookmarkStart w:id="102" w:name="_Toc7556"/>
      <w:r>
        <w:rPr>
          <w:rFonts w:hint="eastAsia" w:asciiTheme="minorEastAsia" w:hAnsiTheme="minorEastAsia" w:eastAsiaTheme="minorEastAsia" w:cstheme="minorEastAsia"/>
          <w:color w:val="auto"/>
          <w:sz w:val="24"/>
          <w:highlight w:val="none"/>
        </w:rPr>
        <w:t>四、采购终止</w:t>
      </w:r>
      <w:bookmarkEnd w:id="102"/>
    </w:p>
    <w:p w14:paraId="2039B7F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6153DD0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6953C610">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4DE23033">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14:paraId="795FECF1">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03" w:name="_Toc106030892"/>
      <w:bookmarkEnd w:id="103"/>
      <w:bookmarkStart w:id="104" w:name="_Toc32240"/>
      <w:bookmarkEnd w:id="104"/>
      <w:bookmarkStart w:id="105" w:name="_Toc102227313"/>
      <w:bookmarkEnd w:id="105"/>
      <w:bookmarkStart w:id="106" w:name="_Toc76462337"/>
      <w:bookmarkEnd w:id="106"/>
      <w:bookmarkStart w:id="107" w:name="_Toc4630"/>
      <w:r>
        <w:rPr>
          <w:rFonts w:hint="eastAsia" w:asciiTheme="minorEastAsia" w:hAnsiTheme="minorEastAsia" w:eastAsiaTheme="minorEastAsia" w:cstheme="minorEastAsia"/>
          <w:color w:val="auto"/>
          <w:sz w:val="36"/>
          <w:szCs w:val="30"/>
          <w:highlight w:val="none"/>
        </w:rPr>
        <w:t>第五篇  供应商须知</w:t>
      </w:r>
      <w:bookmarkEnd w:id="107"/>
    </w:p>
    <w:p w14:paraId="7011C046">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8" w:name="_Toc342913389"/>
      <w:bookmarkEnd w:id="108"/>
      <w:bookmarkStart w:id="109" w:name="_Toc106030893"/>
      <w:bookmarkEnd w:id="109"/>
      <w:bookmarkStart w:id="110" w:name="_Toc11013"/>
      <w:bookmarkEnd w:id="110"/>
      <w:bookmarkStart w:id="111" w:name="_Toc76462338"/>
      <w:bookmarkEnd w:id="111"/>
      <w:bookmarkStart w:id="112" w:name="_Toc11759"/>
      <w:r>
        <w:rPr>
          <w:rFonts w:hint="eastAsia" w:asciiTheme="minorEastAsia" w:hAnsiTheme="minorEastAsia" w:eastAsiaTheme="minorEastAsia" w:cstheme="minorEastAsia"/>
          <w:color w:val="auto"/>
          <w:sz w:val="24"/>
          <w:highlight w:val="none"/>
        </w:rPr>
        <w:t>一、磋商费用</w:t>
      </w:r>
      <w:bookmarkEnd w:id="112"/>
    </w:p>
    <w:p w14:paraId="740A3ED4">
      <w:pPr>
        <w:pStyle w:val="14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8193F87">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3" w:name="_Toc76462339"/>
      <w:bookmarkEnd w:id="113"/>
      <w:bookmarkStart w:id="114" w:name="_Toc106030894"/>
      <w:bookmarkEnd w:id="114"/>
      <w:bookmarkStart w:id="115" w:name="_Toc342913391"/>
      <w:bookmarkEnd w:id="115"/>
      <w:bookmarkStart w:id="116" w:name="_Toc11832"/>
      <w:bookmarkEnd w:id="116"/>
      <w:bookmarkStart w:id="117" w:name="_Toc941"/>
      <w:r>
        <w:rPr>
          <w:rFonts w:hint="eastAsia" w:asciiTheme="minorEastAsia" w:hAnsiTheme="minorEastAsia" w:eastAsiaTheme="minorEastAsia" w:cstheme="minorEastAsia"/>
          <w:color w:val="auto"/>
          <w:sz w:val="24"/>
          <w:highlight w:val="none"/>
        </w:rPr>
        <w:t>二、竞争性磋商文件</w:t>
      </w:r>
      <w:bookmarkEnd w:id="117"/>
    </w:p>
    <w:p w14:paraId="0BA7094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14:paraId="221B4CC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0C5CFDF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6687520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063C9C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3F420B8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63C1014C">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8" w:name="_Toc29817"/>
      <w:bookmarkEnd w:id="118"/>
      <w:bookmarkStart w:id="119" w:name="_Toc76462340"/>
      <w:bookmarkEnd w:id="119"/>
      <w:bookmarkStart w:id="120" w:name="_Toc342913392"/>
      <w:bookmarkEnd w:id="120"/>
      <w:bookmarkStart w:id="121" w:name="_Toc106030895"/>
      <w:bookmarkEnd w:id="121"/>
      <w:bookmarkStart w:id="122" w:name="_Toc102227318"/>
      <w:bookmarkEnd w:id="122"/>
      <w:bookmarkStart w:id="123" w:name="_Toc179714297"/>
      <w:bookmarkEnd w:id="123"/>
      <w:bookmarkStart w:id="124" w:name="_Toc1222"/>
      <w:r>
        <w:rPr>
          <w:rFonts w:hint="eastAsia" w:asciiTheme="minorEastAsia" w:hAnsiTheme="minorEastAsia" w:eastAsiaTheme="minorEastAsia" w:cstheme="minorEastAsia"/>
          <w:color w:val="auto"/>
          <w:sz w:val="24"/>
          <w:highlight w:val="none"/>
        </w:rPr>
        <w:t>三、磋商要求</w:t>
      </w:r>
      <w:bookmarkEnd w:id="124"/>
    </w:p>
    <w:p w14:paraId="7E5BB6D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1F826E7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9D37CC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7167B49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3286EE5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14:paraId="7D71C34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105DBF4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777F04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5EE1F43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D63173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7D7F1B2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份，其中正本一份，副本一份，电子文档一份（电子文档内容应与投标文件正本一致，推荐采用光盘或U盘为文件载体）；副本可为正本的复印件，应与正本一致，如出现不一致情况以正本为准。</w:t>
      </w:r>
    </w:p>
    <w:p w14:paraId="1042B15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14:paraId="699B2E2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01466131">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响应文件的正本、副本、电子文档均应密封送达磋商地点，应在封套上注明磋商项目名称、供应商名称。若正本、副本、电子文档分别进行密封的，还应在封套上注明“正本”、“副本”、“电子文档”字样。</w:t>
      </w:r>
    </w:p>
    <w:p w14:paraId="040B522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415C0C6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03545CB0">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5" w:name="_Toc9369"/>
      <w:bookmarkEnd w:id="125"/>
      <w:bookmarkStart w:id="126" w:name="_Toc76462341"/>
      <w:bookmarkEnd w:id="126"/>
      <w:bookmarkStart w:id="127" w:name="_Toc106030896"/>
      <w:bookmarkEnd w:id="127"/>
      <w:bookmarkStart w:id="128" w:name="_Toc16371"/>
      <w:r>
        <w:rPr>
          <w:rFonts w:hint="eastAsia" w:asciiTheme="minorEastAsia" w:hAnsiTheme="minorEastAsia" w:eastAsiaTheme="minorEastAsia" w:cstheme="minorEastAsia"/>
          <w:color w:val="auto"/>
          <w:sz w:val="24"/>
          <w:highlight w:val="none"/>
        </w:rPr>
        <w:t>四、成交供应商的确认和变更</w:t>
      </w:r>
      <w:bookmarkEnd w:id="128"/>
    </w:p>
    <w:p w14:paraId="567485EE">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4F42EBE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人中，按照排序由高到低的原则确定成交供应商，也可以书面授权磋商小组直接确定成交供应商。采购人逾期未确定成交供应商且不提出异议的，视为确定评审报告提出的排序第一的供应商为成交供应商。</w:t>
      </w:r>
    </w:p>
    <w:p w14:paraId="5561EC97">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28BE429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成交供应商拒绝与采购人签订合同的，采购人可以按照评标报告推荐的成交候选人顺序，确定排名下一位的候选人为成交供应商，也可以重新开展采购活动。</w:t>
      </w:r>
    </w:p>
    <w:p w14:paraId="260E27C6">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9" w:name="_Toc29760"/>
      <w:bookmarkEnd w:id="129"/>
      <w:bookmarkStart w:id="130" w:name="_Toc342913395"/>
      <w:bookmarkEnd w:id="130"/>
      <w:bookmarkStart w:id="131" w:name="_Toc76462342"/>
      <w:bookmarkEnd w:id="131"/>
      <w:bookmarkStart w:id="132" w:name="_Toc102227321"/>
      <w:bookmarkEnd w:id="132"/>
      <w:bookmarkStart w:id="133" w:name="_Toc106030897"/>
      <w:bookmarkEnd w:id="133"/>
      <w:bookmarkStart w:id="134" w:name="_Toc17075"/>
      <w:r>
        <w:rPr>
          <w:rFonts w:hint="eastAsia" w:asciiTheme="minorEastAsia" w:hAnsiTheme="minorEastAsia" w:eastAsiaTheme="minorEastAsia" w:cstheme="minorEastAsia"/>
          <w:color w:val="auto"/>
          <w:sz w:val="24"/>
          <w:highlight w:val="none"/>
        </w:rPr>
        <w:t>五、成交通知</w:t>
      </w:r>
      <w:bookmarkEnd w:id="134"/>
    </w:p>
    <w:p w14:paraId="0818AD4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上发布成交结果公告。</w:t>
      </w:r>
    </w:p>
    <w:p w14:paraId="35BB2D5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68C657B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1C1EDDEC">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5" w:name="_Toc106030898"/>
      <w:bookmarkEnd w:id="135"/>
      <w:bookmarkStart w:id="136" w:name="_Toc27425"/>
      <w:bookmarkEnd w:id="136"/>
      <w:bookmarkStart w:id="137" w:name="_Toc76462343"/>
      <w:bookmarkEnd w:id="137"/>
      <w:bookmarkStart w:id="138" w:name="_Toc3724"/>
      <w:r>
        <w:rPr>
          <w:rFonts w:hint="eastAsia" w:asciiTheme="minorEastAsia" w:hAnsiTheme="minorEastAsia" w:eastAsiaTheme="minorEastAsia" w:cstheme="minorEastAsia"/>
          <w:color w:val="auto"/>
          <w:sz w:val="24"/>
          <w:highlight w:val="none"/>
        </w:rPr>
        <w:t>六、关于询问</w:t>
      </w:r>
      <w:bookmarkEnd w:id="138"/>
    </w:p>
    <w:p w14:paraId="6734582F">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14:paraId="5E27FEC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14:paraId="3F6614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14:paraId="4A22B92E">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14:paraId="3126F7D2">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14:paraId="3EFE1286">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14:paraId="3419735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4F6B00E9">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14:paraId="570ED3D8">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14:paraId="6EE1E03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6A6329D1">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79482BBC">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14:paraId="60C2D251">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14:paraId="2D0B538E">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2691382B">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14:paraId="2C248B56">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14:paraId="1102212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14:paraId="19BFD1BB">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9" w:name="_Toc813"/>
      <w:bookmarkEnd w:id="139"/>
      <w:bookmarkStart w:id="140" w:name="_Toc106030899"/>
      <w:bookmarkEnd w:id="140"/>
      <w:bookmarkStart w:id="141" w:name="_Toc76462344"/>
      <w:bookmarkEnd w:id="141"/>
      <w:bookmarkStart w:id="142" w:name="_Toc7141"/>
      <w:r>
        <w:rPr>
          <w:rFonts w:hint="eastAsia" w:asciiTheme="minorEastAsia" w:hAnsiTheme="minorEastAsia" w:eastAsiaTheme="minorEastAsia" w:cstheme="minorEastAsia"/>
          <w:color w:val="auto"/>
          <w:sz w:val="24"/>
          <w:highlight w:val="none"/>
        </w:rPr>
        <w:t>七、采购代理服务费</w:t>
      </w:r>
      <w:bookmarkEnd w:id="142"/>
    </w:p>
    <w:p w14:paraId="6EDDBB9D">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color w:val="auto"/>
          <w:sz w:val="24"/>
          <w:szCs w:val="24"/>
          <w:highlight w:val="none"/>
        </w:rPr>
        <w:t>成交供应商在领取成交通知书前，按照以下标准向采购代理机构缴纳代理服务费。代理服务费参照【计价格［2002］1980号】文规定的收费标准计取。如计算后不足人民币4000元的按保底金额4000元计取。</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DCB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4B735737">
            <w:pPr>
              <w:ind w:firstLine="1265" w:firstLineChars="6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 w:val="21"/>
                <w:szCs w:val="21"/>
                <w:highlight w:val="none"/>
              </w:rPr>
              <w:t>采购类型</w:t>
            </w:r>
          </w:p>
          <w:p w14:paraId="22E5C973">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成交金额（万元）</w:t>
            </w:r>
          </w:p>
        </w:tc>
        <w:tc>
          <w:tcPr>
            <w:tcW w:w="2273" w:type="dxa"/>
            <w:vAlign w:val="center"/>
          </w:tcPr>
          <w:p w14:paraId="646E0CE7">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货物采购</w:t>
            </w:r>
          </w:p>
        </w:tc>
        <w:tc>
          <w:tcPr>
            <w:tcW w:w="2273" w:type="dxa"/>
            <w:vAlign w:val="center"/>
          </w:tcPr>
          <w:p w14:paraId="6CF1E8BC">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服务采购</w:t>
            </w:r>
          </w:p>
        </w:tc>
        <w:tc>
          <w:tcPr>
            <w:tcW w:w="2272" w:type="dxa"/>
            <w:vAlign w:val="center"/>
          </w:tcPr>
          <w:p w14:paraId="177A66F1">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工程采购</w:t>
            </w:r>
          </w:p>
        </w:tc>
      </w:tr>
      <w:tr w14:paraId="0711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20B966E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100以下</w:t>
            </w:r>
          </w:p>
        </w:tc>
        <w:tc>
          <w:tcPr>
            <w:tcW w:w="2273" w:type="dxa"/>
            <w:vAlign w:val="center"/>
          </w:tcPr>
          <w:p w14:paraId="03ADA12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3" w:type="dxa"/>
            <w:vAlign w:val="center"/>
          </w:tcPr>
          <w:p w14:paraId="370D45D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2" w:type="dxa"/>
            <w:vAlign w:val="center"/>
          </w:tcPr>
          <w:p w14:paraId="133C302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7A4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3503792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273" w:type="dxa"/>
            <w:vAlign w:val="center"/>
          </w:tcPr>
          <w:p w14:paraId="614AE95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273" w:type="dxa"/>
            <w:vAlign w:val="center"/>
          </w:tcPr>
          <w:p w14:paraId="11E770B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2" w:type="dxa"/>
            <w:vAlign w:val="center"/>
          </w:tcPr>
          <w:p w14:paraId="76DC3E2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14:paraId="6CB3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08582A7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273" w:type="dxa"/>
            <w:vAlign w:val="center"/>
          </w:tcPr>
          <w:p w14:paraId="39626D9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3" w:type="dxa"/>
            <w:vAlign w:val="center"/>
          </w:tcPr>
          <w:p w14:paraId="10137A4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272" w:type="dxa"/>
            <w:vAlign w:val="center"/>
          </w:tcPr>
          <w:p w14:paraId="5646944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53B4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44BE93A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273" w:type="dxa"/>
            <w:vAlign w:val="center"/>
          </w:tcPr>
          <w:p w14:paraId="5E33B93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273" w:type="dxa"/>
            <w:vAlign w:val="center"/>
          </w:tcPr>
          <w:p w14:paraId="0156939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2" w:type="dxa"/>
            <w:vAlign w:val="center"/>
          </w:tcPr>
          <w:p w14:paraId="716891F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r w14:paraId="7E6E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58F41B8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5000-10000</w:t>
            </w:r>
          </w:p>
        </w:tc>
        <w:tc>
          <w:tcPr>
            <w:tcW w:w="2273" w:type="dxa"/>
            <w:vAlign w:val="center"/>
          </w:tcPr>
          <w:p w14:paraId="27D0086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3" w:type="dxa"/>
            <w:vAlign w:val="center"/>
          </w:tcPr>
          <w:p w14:paraId="72DFC19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c>
          <w:tcPr>
            <w:tcW w:w="2272" w:type="dxa"/>
            <w:vAlign w:val="center"/>
          </w:tcPr>
          <w:p w14:paraId="0D11C99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14:paraId="0640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748E286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10000-100000</w:t>
            </w:r>
          </w:p>
        </w:tc>
        <w:tc>
          <w:tcPr>
            <w:tcW w:w="2273" w:type="dxa"/>
            <w:vAlign w:val="center"/>
          </w:tcPr>
          <w:p w14:paraId="0CB1646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3" w:type="dxa"/>
            <w:vAlign w:val="center"/>
          </w:tcPr>
          <w:p w14:paraId="0C6624B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2" w:type="dxa"/>
            <w:vAlign w:val="center"/>
          </w:tcPr>
          <w:p w14:paraId="459BD4D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r>
      <w:tr w14:paraId="79C9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14:paraId="77614C7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1000000以上</w:t>
            </w:r>
          </w:p>
        </w:tc>
        <w:tc>
          <w:tcPr>
            <w:tcW w:w="2273" w:type="dxa"/>
            <w:vAlign w:val="center"/>
          </w:tcPr>
          <w:p w14:paraId="6AC04AB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3" w:type="dxa"/>
            <w:vAlign w:val="center"/>
          </w:tcPr>
          <w:p w14:paraId="6DFF8A0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2" w:type="dxa"/>
            <w:vAlign w:val="center"/>
          </w:tcPr>
          <w:p w14:paraId="7F5EFAD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r>
    </w:tbl>
    <w:p w14:paraId="33FD5D6D">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（一）服务费以现金、支票或电汇等形式支付。</w:t>
      </w:r>
    </w:p>
    <w:p w14:paraId="19F5F48B">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（二）成交供应商如未按上述规定缴付采购代理服务费，其保证金将不予退还。</w:t>
      </w:r>
    </w:p>
    <w:p w14:paraId="0BB33916">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14:paraId="75A1CA7E">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名：重庆宏仁招标代理有限公司</w:t>
      </w:r>
    </w:p>
    <w:p w14:paraId="5AE24B3E">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14:paraId="366D72F3">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号：123907228910802</w:t>
      </w:r>
    </w:p>
    <w:p w14:paraId="1FDF9D8F">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3" w:name="_Toc76462346"/>
      <w:bookmarkEnd w:id="143"/>
      <w:bookmarkStart w:id="144" w:name="_Toc106030901"/>
      <w:bookmarkEnd w:id="144"/>
      <w:bookmarkStart w:id="145" w:name="_Toc342913396"/>
      <w:bookmarkEnd w:id="145"/>
      <w:bookmarkStart w:id="146" w:name="_Toc102227322"/>
      <w:bookmarkEnd w:id="146"/>
      <w:bookmarkStart w:id="147" w:name="_Toc30259"/>
      <w:bookmarkEnd w:id="147"/>
      <w:bookmarkStart w:id="148" w:name="_Toc6560"/>
      <w:bookmarkStart w:id="149" w:name="_Toc11641055"/>
      <w:bookmarkStart w:id="150" w:name="_Toc12789059"/>
      <w:r>
        <w:rPr>
          <w:rFonts w:hint="eastAsia" w:asciiTheme="minorEastAsia" w:hAnsiTheme="minorEastAsia" w:eastAsiaTheme="minorEastAsia" w:cstheme="minorEastAsia"/>
          <w:color w:val="auto"/>
          <w:sz w:val="24"/>
          <w:highlight w:val="none"/>
        </w:rPr>
        <w:t>八、签订合同</w:t>
      </w:r>
      <w:bookmarkEnd w:id="148"/>
    </w:p>
    <w:p w14:paraId="60AC4326">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4B98FE97">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14:paraId="476BD560">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0EE59AA5">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14:paraId="196A6C75">
      <w:pPr>
        <w:pStyle w:val="37"/>
        <w:rPr>
          <w:rFonts w:hint="eastAsia" w:asciiTheme="minorEastAsia" w:hAnsiTheme="minorEastAsia" w:eastAsiaTheme="minorEastAsia" w:cstheme="minorEastAsia"/>
          <w:color w:val="auto"/>
          <w:sz w:val="24"/>
          <w:szCs w:val="24"/>
          <w:highlight w:val="none"/>
        </w:rPr>
      </w:pPr>
    </w:p>
    <w:p w14:paraId="22CF870B">
      <w:pPr>
        <w:rPr>
          <w:rFonts w:hint="eastAsia" w:asciiTheme="minorEastAsia" w:hAnsiTheme="minorEastAsia" w:eastAsiaTheme="minorEastAsia" w:cstheme="minorEastAsia"/>
          <w:color w:val="auto"/>
          <w:sz w:val="24"/>
          <w:szCs w:val="24"/>
          <w:highlight w:val="none"/>
        </w:rPr>
      </w:pPr>
    </w:p>
    <w:p w14:paraId="0E7C6FDD">
      <w:pPr>
        <w:pStyle w:val="37"/>
        <w:rPr>
          <w:rFonts w:hint="eastAsia" w:asciiTheme="minorEastAsia" w:hAnsiTheme="minorEastAsia" w:eastAsiaTheme="minorEastAsia" w:cstheme="minorEastAsia"/>
          <w:color w:val="auto"/>
          <w:sz w:val="24"/>
          <w:szCs w:val="24"/>
          <w:highlight w:val="none"/>
        </w:rPr>
      </w:pPr>
    </w:p>
    <w:p w14:paraId="56DC33F8">
      <w:pPr>
        <w:rPr>
          <w:color w:val="auto"/>
          <w:highlight w:val="none"/>
        </w:rPr>
      </w:pPr>
    </w:p>
    <w:bookmarkEnd w:id="149"/>
    <w:bookmarkEnd w:id="150"/>
    <w:p w14:paraId="58C2A442">
      <w:pPr>
        <w:rPr>
          <w:rFonts w:hint="eastAsia" w:asciiTheme="minorEastAsia" w:hAnsiTheme="minorEastAsia" w:eastAsiaTheme="minorEastAsia" w:cstheme="minorEastAsia"/>
          <w:bCs/>
          <w:color w:val="auto"/>
          <w:sz w:val="36"/>
          <w:szCs w:val="30"/>
          <w:highlight w:val="none"/>
        </w:rPr>
      </w:pPr>
      <w:r>
        <w:rPr>
          <w:rFonts w:hint="eastAsia" w:asciiTheme="minorEastAsia" w:hAnsiTheme="minorEastAsia" w:eastAsiaTheme="minorEastAsia" w:cstheme="minorEastAsia"/>
          <w:bCs/>
          <w:color w:val="auto"/>
          <w:sz w:val="36"/>
          <w:szCs w:val="30"/>
          <w:highlight w:val="none"/>
        </w:rPr>
        <w:br w:type="page"/>
      </w:r>
    </w:p>
    <w:p w14:paraId="3E2458C9">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51" w:name="_Toc1485"/>
      <w:r>
        <w:rPr>
          <w:rFonts w:hint="eastAsia" w:asciiTheme="minorEastAsia" w:hAnsiTheme="minorEastAsia" w:eastAsiaTheme="minorEastAsia" w:cstheme="minorEastAsia"/>
          <w:bCs/>
          <w:color w:val="auto"/>
          <w:sz w:val="36"/>
          <w:szCs w:val="30"/>
          <w:highlight w:val="none"/>
        </w:rPr>
        <w:t>第六篇  响应文件编制要求</w:t>
      </w:r>
      <w:bookmarkEnd w:id="151"/>
    </w:p>
    <w:p w14:paraId="136EE493">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一、经济部分</w:t>
      </w:r>
    </w:p>
    <w:p w14:paraId="20438EC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5ACA3F8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1BF46EA5">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二、服务部分</w:t>
      </w:r>
    </w:p>
    <w:p w14:paraId="0B457DC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14:paraId="03F7A40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（二）书面方案（格式自拟）</w:t>
      </w:r>
    </w:p>
    <w:p w14:paraId="4E5C346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14:paraId="42530C10">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三、商务部分</w:t>
      </w:r>
    </w:p>
    <w:p w14:paraId="0702A7F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14:paraId="0BF1922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（二）其他商务评审资料（自附）</w:t>
      </w:r>
    </w:p>
    <w:p w14:paraId="4D7FE410">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14:paraId="3E5D1F1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157F8B8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59198F44">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449A04E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63BA427E">
      <w:pPr>
        <w:snapToGrid w:val="0"/>
        <w:spacing w:line="40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w:t>
      </w:r>
      <w:r>
        <w:rPr>
          <w:rFonts w:hint="eastAsia" w:asciiTheme="minorEastAsia" w:hAnsiTheme="minorEastAsia" w:eastAsiaTheme="minorEastAsia" w:cstheme="minorEastAsia"/>
          <w:b/>
          <w:bCs/>
          <w:color w:val="auto"/>
          <w:sz w:val="24"/>
          <w:szCs w:val="24"/>
          <w:highlight w:val="none"/>
        </w:rPr>
        <w:t>件证书或证明文件（如果有）</w:t>
      </w:r>
    </w:p>
    <w:p w14:paraId="7B95C74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14:paraId="3C0B7B30">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14:paraId="1F81AC7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8" w:type="default"/>
          <w:pgSz w:w="11907" w:h="16840"/>
          <w:pgMar w:top="1134" w:right="1191" w:bottom="1134" w:left="1304" w:header="851" w:footer="992" w:gutter="0"/>
          <w:pgNumType w:fmt="numberInDash"/>
          <w:cols w:space="720" w:num="1"/>
          <w:docGrid w:linePitch="380" w:charSpace="-5735"/>
        </w:sectPr>
      </w:pPr>
    </w:p>
    <w:p w14:paraId="4CC31F43">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2" w:name="_Toc313008356"/>
      <w:bookmarkEnd w:id="152"/>
      <w:bookmarkStart w:id="153" w:name="_Toc11543"/>
      <w:bookmarkEnd w:id="153"/>
      <w:bookmarkStart w:id="154" w:name="_Toc313888360"/>
      <w:bookmarkEnd w:id="154"/>
      <w:bookmarkStart w:id="155" w:name="_Toc106030906"/>
      <w:bookmarkEnd w:id="155"/>
      <w:bookmarkStart w:id="156" w:name="_Toc76462350"/>
      <w:bookmarkEnd w:id="156"/>
      <w:bookmarkStart w:id="157" w:name="_Toc342913419"/>
      <w:bookmarkEnd w:id="157"/>
      <w:bookmarkStart w:id="158" w:name="_Toc19738"/>
      <w:r>
        <w:rPr>
          <w:rFonts w:hint="eastAsia" w:asciiTheme="minorEastAsia" w:hAnsiTheme="minorEastAsia" w:eastAsiaTheme="minorEastAsia" w:cstheme="minorEastAsia"/>
          <w:color w:val="auto"/>
          <w:sz w:val="24"/>
          <w:highlight w:val="none"/>
        </w:rPr>
        <w:t>一、经济部分</w:t>
      </w:r>
      <w:bookmarkEnd w:id="158"/>
    </w:p>
    <w:p w14:paraId="74931DBC">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4AE8B1AD">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5BF527C4">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670375F3">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14:paraId="0AD0CCC3">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元。以我公司最后报价为准。</w:t>
      </w:r>
    </w:p>
    <w:p w14:paraId="074C1462">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0CB6A848">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566279DE">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1AEA1DD5">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14:paraId="2287223D">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353937EE">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14:paraId="6F238105">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40199BAC">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14:paraId="3175DCE4">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14:paraId="11A7F4A4">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7360FAF0">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6A87AE57">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723821D5">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6E76ED99">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14:paraId="63860549">
      <w:pPr>
        <w:tabs>
          <w:tab w:val="left" w:pos="2895"/>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2785A15B">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4C8BDFBF">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项目名称：</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24B7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2D138B5D">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vAlign w:val="center"/>
          </w:tcPr>
          <w:p w14:paraId="61D6349E">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vAlign w:val="center"/>
          </w:tcPr>
          <w:p w14:paraId="71AD7653">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vAlign w:val="center"/>
          </w:tcPr>
          <w:p w14:paraId="26A141B2">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数量/单位</w:t>
            </w:r>
          </w:p>
        </w:tc>
        <w:tc>
          <w:tcPr>
            <w:tcW w:w="1235" w:type="dxa"/>
            <w:vAlign w:val="center"/>
          </w:tcPr>
          <w:p w14:paraId="136200BD">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235" w:type="dxa"/>
            <w:vAlign w:val="center"/>
          </w:tcPr>
          <w:p w14:paraId="31C3198B">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合计（元）</w:t>
            </w:r>
          </w:p>
        </w:tc>
      </w:tr>
      <w:tr w14:paraId="4C06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7D65709">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vAlign w:val="center"/>
          </w:tcPr>
          <w:p w14:paraId="34D5D6CD">
            <w:pPr>
              <w:jc w:val="center"/>
              <w:rPr>
                <w:rFonts w:hint="eastAsia" w:asciiTheme="minorEastAsia" w:hAnsiTheme="minorEastAsia" w:eastAsiaTheme="minorEastAsia" w:cstheme="minorEastAsia"/>
                <w:color w:val="auto"/>
                <w:sz w:val="21"/>
                <w:szCs w:val="21"/>
                <w:highlight w:val="none"/>
              </w:rPr>
            </w:pPr>
          </w:p>
        </w:tc>
        <w:tc>
          <w:tcPr>
            <w:tcW w:w="3127" w:type="dxa"/>
          </w:tcPr>
          <w:p w14:paraId="0A9E4AD8">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75AA082C">
            <w:pPr>
              <w:jc w:val="center"/>
              <w:rPr>
                <w:rFonts w:hint="eastAsia" w:asciiTheme="minorEastAsia" w:hAnsiTheme="minorEastAsia" w:eastAsiaTheme="minorEastAsia" w:cstheme="minorEastAsia"/>
                <w:color w:val="auto"/>
                <w:sz w:val="21"/>
                <w:szCs w:val="21"/>
                <w:highlight w:val="none"/>
              </w:rPr>
            </w:pPr>
          </w:p>
        </w:tc>
        <w:tc>
          <w:tcPr>
            <w:tcW w:w="1235" w:type="dxa"/>
          </w:tcPr>
          <w:p w14:paraId="170879AC">
            <w:pPr>
              <w:jc w:val="center"/>
              <w:rPr>
                <w:rFonts w:hint="eastAsia" w:asciiTheme="minorEastAsia" w:hAnsiTheme="minorEastAsia" w:eastAsiaTheme="minorEastAsia" w:cstheme="minorEastAsia"/>
                <w:color w:val="auto"/>
                <w:sz w:val="21"/>
                <w:szCs w:val="21"/>
                <w:highlight w:val="none"/>
              </w:rPr>
            </w:pPr>
          </w:p>
        </w:tc>
        <w:tc>
          <w:tcPr>
            <w:tcW w:w="1235" w:type="dxa"/>
          </w:tcPr>
          <w:p w14:paraId="3B306E5C">
            <w:pPr>
              <w:jc w:val="center"/>
              <w:rPr>
                <w:rFonts w:hint="eastAsia" w:asciiTheme="minorEastAsia" w:hAnsiTheme="minorEastAsia" w:eastAsiaTheme="minorEastAsia" w:cstheme="minorEastAsia"/>
                <w:color w:val="auto"/>
                <w:sz w:val="21"/>
                <w:szCs w:val="21"/>
                <w:highlight w:val="none"/>
              </w:rPr>
            </w:pPr>
          </w:p>
        </w:tc>
      </w:tr>
      <w:tr w14:paraId="1FBE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61DFAE6">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vAlign w:val="center"/>
          </w:tcPr>
          <w:p w14:paraId="372F14C9">
            <w:pPr>
              <w:jc w:val="center"/>
              <w:rPr>
                <w:rFonts w:hint="eastAsia" w:asciiTheme="minorEastAsia" w:hAnsiTheme="minorEastAsia" w:eastAsiaTheme="minorEastAsia" w:cstheme="minorEastAsia"/>
                <w:color w:val="auto"/>
                <w:sz w:val="21"/>
                <w:szCs w:val="21"/>
                <w:highlight w:val="none"/>
              </w:rPr>
            </w:pPr>
          </w:p>
        </w:tc>
        <w:tc>
          <w:tcPr>
            <w:tcW w:w="3127" w:type="dxa"/>
          </w:tcPr>
          <w:p w14:paraId="243D2495">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58B13F7E">
            <w:pPr>
              <w:jc w:val="center"/>
              <w:rPr>
                <w:rFonts w:hint="eastAsia" w:asciiTheme="minorEastAsia" w:hAnsiTheme="minorEastAsia" w:eastAsiaTheme="minorEastAsia" w:cstheme="minorEastAsia"/>
                <w:color w:val="auto"/>
                <w:sz w:val="21"/>
                <w:szCs w:val="21"/>
                <w:highlight w:val="none"/>
              </w:rPr>
            </w:pPr>
          </w:p>
        </w:tc>
        <w:tc>
          <w:tcPr>
            <w:tcW w:w="1235" w:type="dxa"/>
          </w:tcPr>
          <w:p w14:paraId="22DDBD09">
            <w:pPr>
              <w:jc w:val="center"/>
              <w:rPr>
                <w:rFonts w:hint="eastAsia" w:asciiTheme="minorEastAsia" w:hAnsiTheme="minorEastAsia" w:eastAsiaTheme="minorEastAsia" w:cstheme="minorEastAsia"/>
                <w:color w:val="auto"/>
                <w:sz w:val="21"/>
                <w:szCs w:val="21"/>
                <w:highlight w:val="none"/>
              </w:rPr>
            </w:pPr>
          </w:p>
        </w:tc>
        <w:tc>
          <w:tcPr>
            <w:tcW w:w="1235" w:type="dxa"/>
          </w:tcPr>
          <w:p w14:paraId="2FA9CA34">
            <w:pPr>
              <w:jc w:val="center"/>
              <w:rPr>
                <w:rFonts w:hint="eastAsia" w:asciiTheme="minorEastAsia" w:hAnsiTheme="minorEastAsia" w:eastAsiaTheme="minorEastAsia" w:cstheme="minorEastAsia"/>
                <w:color w:val="auto"/>
                <w:sz w:val="21"/>
                <w:szCs w:val="21"/>
                <w:highlight w:val="none"/>
              </w:rPr>
            </w:pPr>
          </w:p>
        </w:tc>
      </w:tr>
      <w:tr w14:paraId="6B38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ADA2EFD">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vAlign w:val="center"/>
          </w:tcPr>
          <w:p w14:paraId="1F4987B0">
            <w:pPr>
              <w:jc w:val="center"/>
              <w:rPr>
                <w:rFonts w:hint="eastAsia" w:asciiTheme="minorEastAsia" w:hAnsiTheme="minorEastAsia" w:eastAsiaTheme="minorEastAsia" w:cstheme="minorEastAsia"/>
                <w:color w:val="auto"/>
                <w:sz w:val="21"/>
                <w:szCs w:val="21"/>
                <w:highlight w:val="none"/>
              </w:rPr>
            </w:pPr>
          </w:p>
        </w:tc>
        <w:tc>
          <w:tcPr>
            <w:tcW w:w="3127" w:type="dxa"/>
          </w:tcPr>
          <w:p w14:paraId="62E73471">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5AD3B428">
            <w:pPr>
              <w:jc w:val="center"/>
              <w:rPr>
                <w:rFonts w:hint="eastAsia" w:asciiTheme="minorEastAsia" w:hAnsiTheme="minorEastAsia" w:eastAsiaTheme="minorEastAsia" w:cstheme="minorEastAsia"/>
                <w:color w:val="auto"/>
                <w:sz w:val="21"/>
                <w:szCs w:val="21"/>
                <w:highlight w:val="none"/>
              </w:rPr>
            </w:pPr>
          </w:p>
        </w:tc>
        <w:tc>
          <w:tcPr>
            <w:tcW w:w="1235" w:type="dxa"/>
          </w:tcPr>
          <w:p w14:paraId="06B34BF6">
            <w:pPr>
              <w:jc w:val="center"/>
              <w:rPr>
                <w:rFonts w:hint="eastAsia" w:asciiTheme="minorEastAsia" w:hAnsiTheme="minorEastAsia" w:eastAsiaTheme="minorEastAsia" w:cstheme="minorEastAsia"/>
                <w:color w:val="auto"/>
                <w:sz w:val="21"/>
                <w:szCs w:val="21"/>
                <w:highlight w:val="none"/>
              </w:rPr>
            </w:pPr>
          </w:p>
        </w:tc>
        <w:tc>
          <w:tcPr>
            <w:tcW w:w="1235" w:type="dxa"/>
          </w:tcPr>
          <w:p w14:paraId="2775BF49">
            <w:pPr>
              <w:jc w:val="center"/>
              <w:rPr>
                <w:rFonts w:hint="eastAsia" w:asciiTheme="minorEastAsia" w:hAnsiTheme="minorEastAsia" w:eastAsiaTheme="minorEastAsia" w:cstheme="minorEastAsia"/>
                <w:color w:val="auto"/>
                <w:sz w:val="21"/>
                <w:szCs w:val="21"/>
                <w:highlight w:val="none"/>
              </w:rPr>
            </w:pPr>
          </w:p>
        </w:tc>
      </w:tr>
      <w:tr w14:paraId="0866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325CBA1">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vAlign w:val="center"/>
          </w:tcPr>
          <w:p w14:paraId="3C01CE02">
            <w:pPr>
              <w:jc w:val="center"/>
              <w:rPr>
                <w:rFonts w:hint="eastAsia" w:asciiTheme="minorEastAsia" w:hAnsiTheme="minorEastAsia" w:eastAsiaTheme="minorEastAsia" w:cstheme="minorEastAsia"/>
                <w:color w:val="auto"/>
                <w:sz w:val="21"/>
                <w:szCs w:val="21"/>
                <w:highlight w:val="none"/>
              </w:rPr>
            </w:pPr>
          </w:p>
        </w:tc>
        <w:tc>
          <w:tcPr>
            <w:tcW w:w="3127" w:type="dxa"/>
          </w:tcPr>
          <w:p w14:paraId="2C48F97F">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06983DA7">
            <w:pPr>
              <w:jc w:val="center"/>
              <w:rPr>
                <w:rFonts w:hint="eastAsia" w:asciiTheme="minorEastAsia" w:hAnsiTheme="minorEastAsia" w:eastAsiaTheme="minorEastAsia" w:cstheme="minorEastAsia"/>
                <w:color w:val="auto"/>
                <w:sz w:val="21"/>
                <w:szCs w:val="21"/>
                <w:highlight w:val="none"/>
              </w:rPr>
            </w:pPr>
          </w:p>
        </w:tc>
        <w:tc>
          <w:tcPr>
            <w:tcW w:w="1235" w:type="dxa"/>
          </w:tcPr>
          <w:p w14:paraId="1981F235">
            <w:pPr>
              <w:jc w:val="center"/>
              <w:rPr>
                <w:rFonts w:hint="eastAsia" w:asciiTheme="minorEastAsia" w:hAnsiTheme="minorEastAsia" w:eastAsiaTheme="minorEastAsia" w:cstheme="minorEastAsia"/>
                <w:color w:val="auto"/>
                <w:sz w:val="21"/>
                <w:szCs w:val="21"/>
                <w:highlight w:val="none"/>
              </w:rPr>
            </w:pPr>
          </w:p>
        </w:tc>
        <w:tc>
          <w:tcPr>
            <w:tcW w:w="1235" w:type="dxa"/>
          </w:tcPr>
          <w:p w14:paraId="29359A1F">
            <w:pPr>
              <w:jc w:val="center"/>
              <w:rPr>
                <w:rFonts w:hint="eastAsia" w:asciiTheme="minorEastAsia" w:hAnsiTheme="minorEastAsia" w:eastAsiaTheme="minorEastAsia" w:cstheme="minorEastAsia"/>
                <w:color w:val="auto"/>
                <w:sz w:val="21"/>
                <w:szCs w:val="21"/>
                <w:highlight w:val="none"/>
              </w:rPr>
            </w:pPr>
          </w:p>
        </w:tc>
      </w:tr>
      <w:tr w14:paraId="20DF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9958C14">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vAlign w:val="center"/>
          </w:tcPr>
          <w:p w14:paraId="592BBC12">
            <w:pPr>
              <w:jc w:val="center"/>
              <w:rPr>
                <w:rFonts w:hint="eastAsia" w:asciiTheme="minorEastAsia" w:hAnsiTheme="minorEastAsia" w:eastAsiaTheme="minorEastAsia" w:cstheme="minorEastAsia"/>
                <w:color w:val="auto"/>
                <w:sz w:val="21"/>
                <w:szCs w:val="21"/>
                <w:highlight w:val="none"/>
              </w:rPr>
            </w:pPr>
          </w:p>
        </w:tc>
        <w:tc>
          <w:tcPr>
            <w:tcW w:w="3127" w:type="dxa"/>
          </w:tcPr>
          <w:p w14:paraId="7DDAF273">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539425E7">
            <w:pPr>
              <w:jc w:val="center"/>
              <w:rPr>
                <w:rFonts w:hint="eastAsia" w:asciiTheme="minorEastAsia" w:hAnsiTheme="minorEastAsia" w:eastAsiaTheme="minorEastAsia" w:cstheme="minorEastAsia"/>
                <w:color w:val="auto"/>
                <w:sz w:val="21"/>
                <w:szCs w:val="21"/>
                <w:highlight w:val="none"/>
              </w:rPr>
            </w:pPr>
          </w:p>
        </w:tc>
        <w:tc>
          <w:tcPr>
            <w:tcW w:w="1235" w:type="dxa"/>
          </w:tcPr>
          <w:p w14:paraId="757F0022">
            <w:pPr>
              <w:jc w:val="center"/>
              <w:rPr>
                <w:rFonts w:hint="eastAsia" w:asciiTheme="minorEastAsia" w:hAnsiTheme="minorEastAsia" w:eastAsiaTheme="minorEastAsia" w:cstheme="minorEastAsia"/>
                <w:color w:val="auto"/>
                <w:sz w:val="21"/>
                <w:szCs w:val="21"/>
                <w:highlight w:val="none"/>
              </w:rPr>
            </w:pPr>
          </w:p>
        </w:tc>
        <w:tc>
          <w:tcPr>
            <w:tcW w:w="1235" w:type="dxa"/>
          </w:tcPr>
          <w:p w14:paraId="243503CD">
            <w:pPr>
              <w:jc w:val="center"/>
              <w:rPr>
                <w:rFonts w:hint="eastAsia" w:asciiTheme="minorEastAsia" w:hAnsiTheme="minorEastAsia" w:eastAsiaTheme="minorEastAsia" w:cstheme="minorEastAsia"/>
                <w:color w:val="auto"/>
                <w:sz w:val="21"/>
                <w:szCs w:val="21"/>
                <w:highlight w:val="none"/>
              </w:rPr>
            </w:pPr>
          </w:p>
        </w:tc>
      </w:tr>
      <w:tr w14:paraId="751F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C6CD665">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vAlign w:val="center"/>
          </w:tcPr>
          <w:p w14:paraId="3669B1FD">
            <w:pPr>
              <w:jc w:val="center"/>
              <w:rPr>
                <w:rFonts w:hint="eastAsia" w:asciiTheme="minorEastAsia" w:hAnsiTheme="minorEastAsia" w:eastAsiaTheme="minorEastAsia" w:cstheme="minorEastAsia"/>
                <w:color w:val="auto"/>
                <w:sz w:val="21"/>
                <w:szCs w:val="21"/>
                <w:highlight w:val="none"/>
              </w:rPr>
            </w:pPr>
          </w:p>
        </w:tc>
        <w:tc>
          <w:tcPr>
            <w:tcW w:w="3127" w:type="dxa"/>
          </w:tcPr>
          <w:p w14:paraId="0FDE13D3">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55AB421E">
            <w:pPr>
              <w:jc w:val="center"/>
              <w:rPr>
                <w:rFonts w:hint="eastAsia" w:asciiTheme="minorEastAsia" w:hAnsiTheme="minorEastAsia" w:eastAsiaTheme="minorEastAsia" w:cstheme="minorEastAsia"/>
                <w:color w:val="auto"/>
                <w:sz w:val="21"/>
                <w:szCs w:val="21"/>
                <w:highlight w:val="none"/>
              </w:rPr>
            </w:pPr>
          </w:p>
        </w:tc>
        <w:tc>
          <w:tcPr>
            <w:tcW w:w="1235" w:type="dxa"/>
          </w:tcPr>
          <w:p w14:paraId="26146925">
            <w:pPr>
              <w:jc w:val="center"/>
              <w:rPr>
                <w:rFonts w:hint="eastAsia" w:asciiTheme="minorEastAsia" w:hAnsiTheme="minorEastAsia" w:eastAsiaTheme="minorEastAsia" w:cstheme="minorEastAsia"/>
                <w:color w:val="auto"/>
                <w:sz w:val="21"/>
                <w:szCs w:val="21"/>
                <w:highlight w:val="none"/>
              </w:rPr>
            </w:pPr>
          </w:p>
        </w:tc>
        <w:tc>
          <w:tcPr>
            <w:tcW w:w="1235" w:type="dxa"/>
          </w:tcPr>
          <w:p w14:paraId="781267A9">
            <w:pPr>
              <w:jc w:val="center"/>
              <w:rPr>
                <w:rFonts w:hint="eastAsia" w:asciiTheme="minorEastAsia" w:hAnsiTheme="minorEastAsia" w:eastAsiaTheme="minorEastAsia" w:cstheme="minorEastAsia"/>
                <w:color w:val="auto"/>
                <w:sz w:val="21"/>
                <w:szCs w:val="21"/>
                <w:highlight w:val="none"/>
              </w:rPr>
            </w:pPr>
          </w:p>
        </w:tc>
      </w:tr>
      <w:tr w14:paraId="3228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D1F2DEB">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vAlign w:val="center"/>
          </w:tcPr>
          <w:p w14:paraId="10317168">
            <w:pPr>
              <w:jc w:val="center"/>
              <w:rPr>
                <w:rFonts w:hint="eastAsia" w:asciiTheme="minorEastAsia" w:hAnsiTheme="minorEastAsia" w:eastAsiaTheme="minorEastAsia" w:cstheme="minorEastAsia"/>
                <w:color w:val="auto"/>
                <w:sz w:val="21"/>
                <w:szCs w:val="21"/>
                <w:highlight w:val="none"/>
              </w:rPr>
            </w:pPr>
          </w:p>
        </w:tc>
        <w:tc>
          <w:tcPr>
            <w:tcW w:w="3127" w:type="dxa"/>
          </w:tcPr>
          <w:p w14:paraId="53D85EDF">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2EBC84C7">
            <w:pPr>
              <w:jc w:val="center"/>
              <w:rPr>
                <w:rFonts w:hint="eastAsia" w:asciiTheme="minorEastAsia" w:hAnsiTheme="minorEastAsia" w:eastAsiaTheme="minorEastAsia" w:cstheme="minorEastAsia"/>
                <w:color w:val="auto"/>
                <w:sz w:val="21"/>
                <w:szCs w:val="21"/>
                <w:highlight w:val="none"/>
              </w:rPr>
            </w:pPr>
          </w:p>
        </w:tc>
        <w:tc>
          <w:tcPr>
            <w:tcW w:w="1235" w:type="dxa"/>
          </w:tcPr>
          <w:p w14:paraId="113E9220">
            <w:pPr>
              <w:jc w:val="center"/>
              <w:rPr>
                <w:rFonts w:hint="eastAsia" w:asciiTheme="minorEastAsia" w:hAnsiTheme="minorEastAsia" w:eastAsiaTheme="minorEastAsia" w:cstheme="minorEastAsia"/>
                <w:color w:val="auto"/>
                <w:sz w:val="21"/>
                <w:szCs w:val="21"/>
                <w:highlight w:val="none"/>
              </w:rPr>
            </w:pPr>
          </w:p>
        </w:tc>
        <w:tc>
          <w:tcPr>
            <w:tcW w:w="1235" w:type="dxa"/>
          </w:tcPr>
          <w:p w14:paraId="28788236">
            <w:pPr>
              <w:jc w:val="center"/>
              <w:rPr>
                <w:rFonts w:hint="eastAsia" w:asciiTheme="minorEastAsia" w:hAnsiTheme="minorEastAsia" w:eastAsiaTheme="minorEastAsia" w:cstheme="minorEastAsia"/>
                <w:color w:val="auto"/>
                <w:sz w:val="21"/>
                <w:szCs w:val="21"/>
                <w:highlight w:val="none"/>
              </w:rPr>
            </w:pPr>
          </w:p>
        </w:tc>
      </w:tr>
      <w:tr w14:paraId="242E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4C85659">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vAlign w:val="center"/>
          </w:tcPr>
          <w:p w14:paraId="54A56674">
            <w:pPr>
              <w:jc w:val="center"/>
              <w:rPr>
                <w:rFonts w:hint="eastAsia" w:asciiTheme="minorEastAsia" w:hAnsiTheme="minorEastAsia" w:eastAsiaTheme="minorEastAsia" w:cstheme="minorEastAsia"/>
                <w:color w:val="auto"/>
                <w:sz w:val="21"/>
                <w:szCs w:val="21"/>
                <w:highlight w:val="none"/>
              </w:rPr>
            </w:pPr>
          </w:p>
        </w:tc>
        <w:tc>
          <w:tcPr>
            <w:tcW w:w="3127" w:type="dxa"/>
          </w:tcPr>
          <w:p w14:paraId="68584CFA">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1E8DEEAF">
            <w:pPr>
              <w:jc w:val="center"/>
              <w:rPr>
                <w:rFonts w:hint="eastAsia" w:asciiTheme="minorEastAsia" w:hAnsiTheme="minorEastAsia" w:eastAsiaTheme="minorEastAsia" w:cstheme="minorEastAsia"/>
                <w:color w:val="auto"/>
                <w:sz w:val="21"/>
                <w:szCs w:val="21"/>
                <w:highlight w:val="none"/>
              </w:rPr>
            </w:pPr>
          </w:p>
        </w:tc>
        <w:tc>
          <w:tcPr>
            <w:tcW w:w="1235" w:type="dxa"/>
          </w:tcPr>
          <w:p w14:paraId="460A7D93">
            <w:pPr>
              <w:jc w:val="center"/>
              <w:rPr>
                <w:rFonts w:hint="eastAsia" w:asciiTheme="minorEastAsia" w:hAnsiTheme="minorEastAsia" w:eastAsiaTheme="minorEastAsia" w:cstheme="minorEastAsia"/>
                <w:color w:val="auto"/>
                <w:sz w:val="21"/>
                <w:szCs w:val="21"/>
                <w:highlight w:val="none"/>
              </w:rPr>
            </w:pPr>
          </w:p>
        </w:tc>
        <w:tc>
          <w:tcPr>
            <w:tcW w:w="1235" w:type="dxa"/>
          </w:tcPr>
          <w:p w14:paraId="1B804D9E">
            <w:pPr>
              <w:jc w:val="center"/>
              <w:rPr>
                <w:rFonts w:hint="eastAsia" w:asciiTheme="minorEastAsia" w:hAnsiTheme="minorEastAsia" w:eastAsiaTheme="minorEastAsia" w:cstheme="minorEastAsia"/>
                <w:color w:val="auto"/>
                <w:sz w:val="21"/>
                <w:szCs w:val="21"/>
                <w:highlight w:val="none"/>
              </w:rPr>
            </w:pPr>
          </w:p>
        </w:tc>
      </w:tr>
      <w:tr w14:paraId="124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1013AA3">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vAlign w:val="center"/>
          </w:tcPr>
          <w:p w14:paraId="473337EF">
            <w:pPr>
              <w:jc w:val="center"/>
              <w:rPr>
                <w:rFonts w:hint="eastAsia" w:asciiTheme="minorEastAsia" w:hAnsiTheme="minorEastAsia" w:eastAsiaTheme="minorEastAsia" w:cstheme="minorEastAsia"/>
                <w:color w:val="auto"/>
                <w:sz w:val="21"/>
                <w:szCs w:val="21"/>
                <w:highlight w:val="none"/>
              </w:rPr>
            </w:pPr>
          </w:p>
        </w:tc>
        <w:tc>
          <w:tcPr>
            <w:tcW w:w="3127" w:type="dxa"/>
          </w:tcPr>
          <w:p w14:paraId="12F5B8EC">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77C3FB31">
            <w:pPr>
              <w:jc w:val="center"/>
              <w:rPr>
                <w:rFonts w:hint="eastAsia" w:asciiTheme="minorEastAsia" w:hAnsiTheme="minorEastAsia" w:eastAsiaTheme="minorEastAsia" w:cstheme="minorEastAsia"/>
                <w:color w:val="auto"/>
                <w:sz w:val="21"/>
                <w:szCs w:val="21"/>
                <w:highlight w:val="none"/>
              </w:rPr>
            </w:pPr>
          </w:p>
        </w:tc>
        <w:tc>
          <w:tcPr>
            <w:tcW w:w="1235" w:type="dxa"/>
          </w:tcPr>
          <w:p w14:paraId="34886F40">
            <w:pPr>
              <w:jc w:val="center"/>
              <w:rPr>
                <w:rFonts w:hint="eastAsia" w:asciiTheme="minorEastAsia" w:hAnsiTheme="minorEastAsia" w:eastAsiaTheme="minorEastAsia" w:cstheme="minorEastAsia"/>
                <w:color w:val="auto"/>
                <w:sz w:val="21"/>
                <w:szCs w:val="21"/>
                <w:highlight w:val="none"/>
              </w:rPr>
            </w:pPr>
          </w:p>
        </w:tc>
        <w:tc>
          <w:tcPr>
            <w:tcW w:w="1235" w:type="dxa"/>
          </w:tcPr>
          <w:p w14:paraId="7120CC2E">
            <w:pPr>
              <w:jc w:val="center"/>
              <w:rPr>
                <w:rFonts w:hint="eastAsia" w:asciiTheme="minorEastAsia" w:hAnsiTheme="minorEastAsia" w:eastAsiaTheme="minorEastAsia" w:cstheme="minorEastAsia"/>
                <w:color w:val="auto"/>
                <w:sz w:val="21"/>
                <w:szCs w:val="21"/>
                <w:highlight w:val="none"/>
              </w:rPr>
            </w:pPr>
          </w:p>
        </w:tc>
      </w:tr>
      <w:tr w14:paraId="6B72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F312A47">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vAlign w:val="center"/>
          </w:tcPr>
          <w:p w14:paraId="3C2F9DB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其他费用</w:t>
            </w:r>
          </w:p>
        </w:tc>
        <w:tc>
          <w:tcPr>
            <w:tcW w:w="3127" w:type="dxa"/>
          </w:tcPr>
          <w:p w14:paraId="09C1561D">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59113C99">
            <w:pPr>
              <w:jc w:val="center"/>
              <w:rPr>
                <w:rFonts w:hint="eastAsia" w:asciiTheme="minorEastAsia" w:hAnsiTheme="minorEastAsia" w:eastAsiaTheme="minorEastAsia" w:cstheme="minorEastAsia"/>
                <w:color w:val="auto"/>
                <w:sz w:val="21"/>
                <w:szCs w:val="21"/>
                <w:highlight w:val="none"/>
              </w:rPr>
            </w:pPr>
          </w:p>
        </w:tc>
        <w:tc>
          <w:tcPr>
            <w:tcW w:w="1235" w:type="dxa"/>
          </w:tcPr>
          <w:p w14:paraId="054E9DEA">
            <w:pPr>
              <w:jc w:val="center"/>
              <w:rPr>
                <w:rFonts w:hint="eastAsia" w:asciiTheme="minorEastAsia" w:hAnsiTheme="minorEastAsia" w:eastAsiaTheme="minorEastAsia" w:cstheme="minorEastAsia"/>
                <w:color w:val="auto"/>
                <w:sz w:val="21"/>
                <w:szCs w:val="21"/>
                <w:highlight w:val="none"/>
              </w:rPr>
            </w:pPr>
          </w:p>
        </w:tc>
        <w:tc>
          <w:tcPr>
            <w:tcW w:w="1235" w:type="dxa"/>
          </w:tcPr>
          <w:p w14:paraId="340CD5CD">
            <w:pPr>
              <w:jc w:val="center"/>
              <w:rPr>
                <w:rFonts w:hint="eastAsia" w:asciiTheme="minorEastAsia" w:hAnsiTheme="minorEastAsia" w:eastAsiaTheme="minorEastAsia" w:cstheme="minorEastAsia"/>
                <w:color w:val="auto"/>
                <w:sz w:val="21"/>
                <w:szCs w:val="21"/>
                <w:highlight w:val="none"/>
              </w:rPr>
            </w:pPr>
          </w:p>
        </w:tc>
      </w:tr>
      <w:tr w14:paraId="027A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3A25919">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vAlign w:val="center"/>
          </w:tcPr>
          <w:p w14:paraId="7640E58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127" w:type="dxa"/>
          </w:tcPr>
          <w:p w14:paraId="32B256E4">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7EBC4390">
            <w:pPr>
              <w:jc w:val="center"/>
              <w:rPr>
                <w:rFonts w:hint="eastAsia" w:asciiTheme="minorEastAsia" w:hAnsiTheme="minorEastAsia" w:eastAsiaTheme="minorEastAsia" w:cstheme="minorEastAsia"/>
                <w:color w:val="auto"/>
                <w:sz w:val="21"/>
                <w:szCs w:val="21"/>
                <w:highlight w:val="none"/>
              </w:rPr>
            </w:pPr>
          </w:p>
        </w:tc>
        <w:tc>
          <w:tcPr>
            <w:tcW w:w="1235" w:type="dxa"/>
          </w:tcPr>
          <w:p w14:paraId="1778EA3E">
            <w:pPr>
              <w:jc w:val="center"/>
              <w:rPr>
                <w:rFonts w:hint="eastAsia" w:asciiTheme="minorEastAsia" w:hAnsiTheme="minorEastAsia" w:eastAsiaTheme="minorEastAsia" w:cstheme="minorEastAsia"/>
                <w:color w:val="auto"/>
                <w:sz w:val="21"/>
                <w:szCs w:val="21"/>
                <w:highlight w:val="none"/>
              </w:rPr>
            </w:pPr>
          </w:p>
        </w:tc>
        <w:tc>
          <w:tcPr>
            <w:tcW w:w="1235" w:type="dxa"/>
          </w:tcPr>
          <w:p w14:paraId="14BF1AFA">
            <w:pPr>
              <w:jc w:val="center"/>
              <w:rPr>
                <w:rFonts w:hint="eastAsia" w:asciiTheme="minorEastAsia" w:hAnsiTheme="minorEastAsia" w:eastAsiaTheme="minorEastAsia" w:cstheme="minorEastAsia"/>
                <w:color w:val="auto"/>
                <w:sz w:val="21"/>
                <w:szCs w:val="21"/>
                <w:highlight w:val="none"/>
              </w:rPr>
            </w:pPr>
          </w:p>
        </w:tc>
      </w:tr>
      <w:tr w14:paraId="296F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5D07583">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vAlign w:val="center"/>
          </w:tcPr>
          <w:p w14:paraId="1939049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tcPr>
          <w:p w14:paraId="3B72428A">
            <w:pPr>
              <w:rPr>
                <w:rFonts w:hint="eastAsia" w:asciiTheme="minorEastAsia" w:hAnsiTheme="minorEastAsia" w:eastAsiaTheme="minorEastAsia" w:cstheme="minorEastAsia"/>
                <w:color w:val="auto"/>
                <w:sz w:val="21"/>
                <w:szCs w:val="21"/>
                <w:highlight w:val="none"/>
              </w:rPr>
            </w:pPr>
          </w:p>
        </w:tc>
      </w:tr>
    </w:tbl>
    <w:p w14:paraId="36193C49">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注：1.供应商应完整填写本表。</w:t>
      </w:r>
    </w:p>
    <w:p w14:paraId="012A87FA">
      <w:pPr>
        <w:snapToGrid w:val="0"/>
        <w:spacing w:line="500" w:lineRule="exact"/>
        <w:rPr>
          <w:rFonts w:hint="eastAsia" w:asciiTheme="minorEastAsia" w:hAnsiTheme="minorEastAsia" w:eastAsiaTheme="minorEastAsia" w:cstheme="minorEastAsia"/>
          <w:color w:val="auto"/>
          <w:sz w:val="24"/>
          <w:szCs w:val="24"/>
          <w:highlight w:val="none"/>
        </w:rPr>
      </w:pPr>
      <w:bookmarkStart w:id="159" w:name="OLE_LINK2"/>
      <w:bookmarkEnd w:id="159"/>
      <w:bookmarkStart w:id="160" w:name="OLE_LINK1"/>
      <w:bookmarkEnd w:id="160"/>
      <w:r>
        <w:rPr>
          <w:rFonts w:hint="eastAsia" w:asciiTheme="minorEastAsia" w:hAnsiTheme="minorEastAsia" w:eastAsiaTheme="minorEastAsia" w:cstheme="minorEastAsia"/>
          <w:color w:val="auto"/>
          <w:sz w:val="24"/>
          <w:szCs w:val="28"/>
          <w:highlight w:val="none"/>
        </w:rPr>
        <w:t xml:space="preserve">        2.该表可扩展。</w:t>
      </w:r>
      <w:r>
        <w:rPr>
          <w:rFonts w:hint="eastAsia" w:asciiTheme="minorEastAsia" w:hAnsiTheme="minorEastAsia" w:eastAsiaTheme="minorEastAsia" w:cstheme="minorEastAsia"/>
          <w:color w:val="auto"/>
          <w:sz w:val="24"/>
          <w:szCs w:val="24"/>
          <w:highlight w:val="none"/>
        </w:rPr>
        <w:t xml:space="preserve">            </w:t>
      </w:r>
    </w:p>
    <w:p w14:paraId="57AF31EC">
      <w:pPr>
        <w:rPr>
          <w:rFonts w:hint="eastAsia" w:asciiTheme="minorEastAsia" w:hAnsiTheme="minorEastAsia" w:eastAsiaTheme="minorEastAsia" w:cstheme="minorEastAsia"/>
          <w:color w:val="auto"/>
          <w:highlight w:val="none"/>
        </w:rPr>
      </w:pPr>
    </w:p>
    <w:p w14:paraId="771B1C19">
      <w:pPr>
        <w:rPr>
          <w:rFonts w:hint="eastAsia" w:asciiTheme="minorEastAsia" w:hAnsiTheme="minorEastAsia" w:eastAsiaTheme="minorEastAsia" w:cstheme="minorEastAsia"/>
          <w:color w:val="auto"/>
          <w:highlight w:val="none"/>
        </w:rPr>
      </w:pPr>
    </w:p>
    <w:p w14:paraId="6611EFEE">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供应商名称（公章）：</w:t>
      </w:r>
    </w:p>
    <w:p w14:paraId="592E593F">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6222B348">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14:paraId="6844B27C">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1" w:name="_Toc106030907"/>
      <w:bookmarkEnd w:id="161"/>
      <w:bookmarkStart w:id="162" w:name="_Toc76462351"/>
      <w:bookmarkEnd w:id="162"/>
      <w:bookmarkStart w:id="163" w:name="_Toc342913420"/>
      <w:bookmarkEnd w:id="163"/>
      <w:bookmarkStart w:id="164" w:name="_Toc29766"/>
      <w:bookmarkEnd w:id="164"/>
      <w:bookmarkStart w:id="165" w:name="_Toc313888361"/>
      <w:bookmarkEnd w:id="165"/>
      <w:bookmarkStart w:id="166" w:name="_Toc313008357"/>
      <w:bookmarkEnd w:id="166"/>
      <w:bookmarkStart w:id="167" w:name="_Toc24548"/>
      <w:r>
        <w:rPr>
          <w:rFonts w:hint="eastAsia" w:asciiTheme="minorEastAsia" w:hAnsiTheme="minorEastAsia" w:eastAsiaTheme="minorEastAsia" w:cstheme="minorEastAsia"/>
          <w:color w:val="auto"/>
          <w:sz w:val="24"/>
          <w:highlight w:val="none"/>
        </w:rPr>
        <w:t>二、服务部分</w:t>
      </w:r>
      <w:bookmarkEnd w:id="167"/>
    </w:p>
    <w:p w14:paraId="2E803D61">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14:paraId="08BF6F29">
      <w:pPr>
        <w:spacing w:line="400" w:lineRule="exact"/>
        <w:rPr>
          <w:rFonts w:hint="eastAsia" w:asciiTheme="minorEastAsia" w:hAnsiTheme="minorEastAsia" w:eastAsiaTheme="minorEastAsia" w:cstheme="minorEastAsia"/>
          <w:color w:val="auto"/>
          <w:sz w:val="24"/>
          <w:szCs w:val="24"/>
          <w:highlight w:val="none"/>
        </w:rPr>
      </w:pPr>
    </w:p>
    <w:p w14:paraId="33181EDC">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3F64A2C8">
      <w:pPr>
        <w:spacing w:line="4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14:paraId="12C5A9BA">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14:paraId="440CFA98">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本公司完全响应磋商文件第二篇项目服务需求全部内容及要求，无负偏离、无差异</w:t>
      </w:r>
    </w:p>
    <w:p w14:paraId="40F671A2">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14:paraId="49723A94">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法定代表人（或法定代表人授权代表）或自然人</w:t>
      </w:r>
      <w:r>
        <w:rPr>
          <w:rFonts w:hint="eastAsia" w:asciiTheme="minorEastAsia" w:hAnsiTheme="minorEastAsia" w:eastAsiaTheme="minorEastAsia" w:cstheme="minorEastAsia"/>
          <w:color w:val="auto"/>
          <w:sz w:val="24"/>
          <w:szCs w:val="24"/>
          <w:highlight w:val="none"/>
        </w:rPr>
        <w:t>：</w:t>
      </w:r>
    </w:p>
    <w:p w14:paraId="3E3E1ABB">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6F943F0A">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25434AE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219E86AC">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59A131C6">
      <w:pPr>
        <w:tabs>
          <w:tab w:val="left" w:pos="6300"/>
        </w:tabs>
        <w:snapToGrid w:val="0"/>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（二）书面方案（格式自拟）</w:t>
      </w:r>
    </w:p>
    <w:p w14:paraId="17FF691A">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3C6FBAB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255A3DF8">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14:paraId="12081DE0">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5C6ED87D">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23742381">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3982DB83">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6C2C0DA6">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71148A12">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3C01BC9D">
      <w:pPr>
        <w:pStyle w:val="4"/>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bookmarkStart w:id="168" w:name="_Toc313008358"/>
      <w:bookmarkEnd w:id="168"/>
      <w:bookmarkStart w:id="169" w:name="_Toc106030908"/>
      <w:bookmarkEnd w:id="169"/>
      <w:bookmarkStart w:id="170" w:name="_Toc313888362"/>
      <w:bookmarkEnd w:id="170"/>
      <w:bookmarkStart w:id="171" w:name="_Toc30533"/>
      <w:bookmarkEnd w:id="171"/>
      <w:bookmarkStart w:id="172" w:name="_Toc76462352"/>
      <w:bookmarkEnd w:id="172"/>
      <w:bookmarkStart w:id="173" w:name="_Toc342913421"/>
      <w:bookmarkEnd w:id="173"/>
      <w:r>
        <w:rPr>
          <w:rFonts w:hint="eastAsia" w:asciiTheme="minorEastAsia" w:hAnsiTheme="minorEastAsia" w:eastAsiaTheme="minorEastAsia" w:cstheme="minorEastAsia"/>
          <w:b w:val="0"/>
          <w:color w:val="auto"/>
          <w:highlight w:val="none"/>
        </w:rPr>
        <w:br w:type="page"/>
      </w:r>
      <w:bookmarkStart w:id="174" w:name="_Toc2279"/>
      <w:r>
        <w:rPr>
          <w:rFonts w:hint="eastAsia" w:asciiTheme="minorEastAsia" w:hAnsiTheme="minorEastAsia" w:eastAsiaTheme="minorEastAsia" w:cstheme="minorEastAsia"/>
          <w:color w:val="auto"/>
          <w:sz w:val="24"/>
          <w:highlight w:val="none"/>
        </w:rPr>
        <w:t>三、商务部分</w:t>
      </w:r>
      <w:bookmarkEnd w:id="174"/>
    </w:p>
    <w:p w14:paraId="29ADB86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14:paraId="08888B2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794E5BE8">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14:paraId="4E28DB33">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14:paraId="106E208D">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14:paraId="6BE37FB6">
      <w:pPr>
        <w:spacing w:line="500" w:lineRule="exact"/>
        <w:ind w:left="4796" w:leftChars="170" w:hanging="4320" w:hangingChars="18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本公司完全响应比选文件第三篇项目商务需求全部内容及要求，无负偏离、无差异</w:t>
      </w:r>
    </w:p>
    <w:p w14:paraId="11A755B1">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14:paraId="5B8F226B">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法定代表人（或法定代表人授权代表）或自然人</w:t>
      </w:r>
      <w:r>
        <w:rPr>
          <w:rFonts w:hint="eastAsia" w:asciiTheme="minorEastAsia" w:hAnsiTheme="minorEastAsia" w:eastAsiaTheme="minorEastAsia" w:cstheme="minorEastAsia"/>
          <w:color w:val="auto"/>
          <w:sz w:val="24"/>
          <w:szCs w:val="24"/>
          <w:highlight w:val="none"/>
        </w:rPr>
        <w:t>：</w:t>
      </w:r>
    </w:p>
    <w:p w14:paraId="1D2848C7">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（供应商公章）                                 （签署或盖章）</w:t>
      </w:r>
    </w:p>
    <w:p w14:paraId="2D7CAEF8">
      <w:pPr>
        <w:tabs>
          <w:tab w:val="left" w:pos="6300"/>
        </w:tabs>
        <w:snapToGrid w:val="0"/>
        <w:spacing w:line="500" w:lineRule="exact"/>
        <w:ind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23512E2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75"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（二）其它商务评审资料（自附）</w:t>
      </w:r>
    </w:p>
    <w:p w14:paraId="7C650BC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75"/>
    <w:p w14:paraId="4B828BB1">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6" w:name="_Toc342913422"/>
      <w:bookmarkEnd w:id="176"/>
      <w:bookmarkStart w:id="177" w:name="_Toc106030909"/>
      <w:bookmarkEnd w:id="177"/>
      <w:bookmarkStart w:id="178" w:name="_Toc313008359"/>
      <w:bookmarkEnd w:id="178"/>
      <w:bookmarkStart w:id="179" w:name="_Toc76462353"/>
      <w:bookmarkEnd w:id="179"/>
      <w:bookmarkStart w:id="180" w:name="_Toc313888363"/>
      <w:bookmarkEnd w:id="180"/>
      <w:bookmarkStart w:id="181" w:name="_Toc28692"/>
      <w:bookmarkEnd w:id="181"/>
      <w:r>
        <w:rPr>
          <w:rFonts w:hint="eastAsia" w:asciiTheme="minorEastAsia" w:hAnsiTheme="minorEastAsia" w:eastAsiaTheme="minorEastAsia" w:cstheme="minorEastAsia"/>
          <w:color w:val="auto"/>
          <w:sz w:val="24"/>
          <w:szCs w:val="24"/>
          <w:highlight w:val="none"/>
        </w:rPr>
        <w:br w:type="page"/>
      </w:r>
      <w:bookmarkStart w:id="182" w:name="_Toc22383"/>
      <w:r>
        <w:rPr>
          <w:rFonts w:hint="eastAsia" w:asciiTheme="minorEastAsia" w:hAnsiTheme="minorEastAsia" w:eastAsiaTheme="minorEastAsia" w:cstheme="minorEastAsia"/>
          <w:color w:val="auto"/>
          <w:sz w:val="24"/>
          <w:highlight w:val="none"/>
        </w:rPr>
        <w:t>四、资格条件</w:t>
      </w:r>
      <w:bookmarkEnd w:id="182"/>
    </w:p>
    <w:p w14:paraId="6A35E56E">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30AFAEE3">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14:paraId="5ED512F4">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2F450856">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065DA217">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11FED79">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0E61FBC">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275C54E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C31E116">
      <w:pPr>
        <w:tabs>
          <w:tab w:val="left" w:pos="6300"/>
        </w:tabs>
        <w:snapToGrid w:val="0"/>
        <w:spacing w:line="500" w:lineRule="exact"/>
        <w:rPr>
          <w:rFonts w:hint="eastAsia" w:asciiTheme="minorEastAsia" w:hAnsiTheme="minorEastAsia" w:eastAsiaTheme="minorEastAsia" w:cstheme="minorEastAsia"/>
          <w:color w:val="auto"/>
          <w:sz w:val="24"/>
          <w:highlight w:val="none"/>
        </w:rPr>
      </w:pPr>
    </w:p>
    <w:p w14:paraId="4094C130">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25C4311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729D2E3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30266B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E2B74F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433E71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634A39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C74899B">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1DCFF08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D4B303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5885077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电子邮箱：XXXXXX@XXXXX（若授权他人办理并签署响应文件的可不填写电话及电子邮箱）</w:t>
      </w:r>
    </w:p>
    <w:p w14:paraId="027C528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（附：法定代表人身份证正反面复印件）</w:t>
      </w:r>
    </w:p>
    <w:p w14:paraId="7675AC0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B56475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7FCA70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2A1AFF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FE91F9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D6E349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7E4FA18">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065B581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795031DD">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1495E99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w:t>
      </w:r>
      <w:r>
        <w:rPr>
          <w:rFonts w:hint="eastAsia" w:asciiTheme="minorEastAsia" w:hAnsiTheme="minorEastAsia" w:eastAsiaTheme="minorEastAsia" w:cstheme="minorEastAsia"/>
          <w:b/>
          <w:bCs/>
          <w:color w:val="auto"/>
          <w:sz w:val="24"/>
          <w:highlight w:val="none"/>
        </w:rPr>
        <w:t>身份证代码</w:t>
      </w:r>
      <w:r>
        <w:rPr>
          <w:rFonts w:hint="eastAsia" w:asciiTheme="minorEastAsia" w:hAnsiTheme="minorEastAsia" w:eastAsiaTheme="minorEastAsia" w:cstheme="minorEastAsia"/>
          <w:color w:val="auto"/>
          <w:sz w:val="24"/>
          <w:highlight w:val="none"/>
        </w:rPr>
        <w:t>）代表我单位全权办理本项目的磋商、签约等具体工作，并签署全部有关文件、协议及合同。</w:t>
      </w:r>
    </w:p>
    <w:p w14:paraId="56300F7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0CCE237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5B347BC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77C72E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C51E9C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7D835967">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3309AEE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（附：被授权人身份证正反面复印件）</w:t>
      </w:r>
    </w:p>
    <w:p w14:paraId="15873F0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00893C4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BDAD9C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5E224B5">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4FA6D835">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4EC13E09">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14:paraId="6675BA15">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p>
    <w:p w14:paraId="4D709729">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注：若为法定代表人办理并签署响应文件的，不提供此文件。</w:t>
      </w:r>
    </w:p>
    <w:p w14:paraId="7363F06F">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5C0BCBC8">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4B95A26E">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4685299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7D9907E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72D018E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345851ED">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2.我方未列入在信用中国网站（www.creditchina.gov.cn）“失信被执行人”、“重大税收违法案件当事人名单”中，也未列入中国采购网（www.ccgp.gov.cn）“采购严重违法失信行为记录名单”中。</w:t>
      </w:r>
    </w:p>
    <w:p w14:paraId="3B4BBC4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6381C43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045100B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32964A8C">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w:t>
      </w:r>
    </w:p>
    <w:p w14:paraId="4AB6A850">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5C63DB87">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7DE9BB68">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（五）特定资格条件证明文件（如果有）</w:t>
      </w:r>
    </w:p>
    <w:p w14:paraId="0AC77E2B">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23FF4FD">
      <w:pPr>
        <w:pStyle w:val="4"/>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83" w:name="_Toc76462354"/>
      <w:bookmarkEnd w:id="183"/>
      <w:bookmarkStart w:id="184" w:name="_Toc106030910"/>
      <w:bookmarkEnd w:id="184"/>
      <w:bookmarkStart w:id="185" w:name="_Toc14422"/>
      <w:bookmarkEnd w:id="185"/>
      <w:bookmarkStart w:id="186" w:name="_Toc7667"/>
      <w:bookmarkEnd w:id="186"/>
      <w:r>
        <w:rPr>
          <w:rFonts w:hint="eastAsia" w:asciiTheme="minorEastAsia" w:hAnsiTheme="minorEastAsia" w:eastAsiaTheme="minorEastAsia" w:cstheme="minorEastAsia"/>
          <w:b w:val="0"/>
          <w:color w:val="auto"/>
          <w:sz w:val="28"/>
          <w:highlight w:val="none"/>
        </w:rPr>
        <w:br w:type="page"/>
      </w:r>
      <w:bookmarkStart w:id="187" w:name="_Toc1555"/>
      <w:r>
        <w:rPr>
          <w:rFonts w:hint="eastAsia" w:asciiTheme="minorEastAsia" w:hAnsiTheme="minorEastAsia" w:eastAsiaTheme="minorEastAsia" w:cstheme="minorEastAsia"/>
          <w:color w:val="auto"/>
          <w:sz w:val="24"/>
          <w:highlight w:val="none"/>
        </w:rPr>
        <w:t>五、其他资料</w:t>
      </w:r>
      <w:bookmarkEnd w:id="187"/>
    </w:p>
    <w:p w14:paraId="0AA65EB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其他与项目有关的资料（自附）：如供应商简介、其他与本项目有关的资料等。</w:t>
      </w:r>
    </w:p>
    <w:p w14:paraId="2B8B3212">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60CB5D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0A959D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BE776C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9C56213">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45062E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3AEFC07E">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AB8639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ED05139">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8C8BD3F">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810BC95">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51F576D">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E69CC63">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BD2B90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E0FEFF8">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475D50F">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77B83BB">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7DA3DE88-2FCF-4F0F-94F9-2748C45339A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1E6B">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- 6 -</w:t>
    </w:r>
    <w:r>
      <w:rPr>
        <w:rFonts w:ascii="宋体"/>
        <w:sz w:val="21"/>
        <w:szCs w:val="21"/>
      </w:rPr>
      <w:fldChar w:fldCharType="end"/>
    </w:r>
  </w:p>
  <w:p w14:paraId="0550B562">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A774">
    <w:pPr>
      <w:pStyle w:val="35"/>
      <w:framePr w:wrap="around" w:vAnchor="text" w:hAnchor="margin" w:xAlign="center" w:y="1"/>
      <w:rPr>
        <w:rStyle w:val="61"/>
      </w:rPr>
    </w:pPr>
    <w:r>
      <w:fldChar w:fldCharType="begin"/>
    </w:r>
    <w:r>
      <w:rPr>
        <w:rStyle w:val="61"/>
      </w:rPr>
      <w:instrText xml:space="preserve">PAGE  </w:instrText>
    </w:r>
    <w:r>
      <w:fldChar w:fldCharType="end"/>
    </w:r>
  </w:p>
  <w:p w14:paraId="23C50421">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05815">
    <w:pPr>
      <w:pStyle w:val="35"/>
      <w:framePr w:wrap="around" w:vAnchor="text" w:hAnchor="margin" w:xAlign="center" w:y="1"/>
      <w:rPr>
        <w:rStyle w:val="61"/>
      </w:rPr>
    </w:pPr>
  </w:p>
  <w:p w14:paraId="472FFFA3">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2304">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9B35">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3C9FB">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44DE0">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9456FED"/>
    <w:multiLevelType w:val="singleLevel"/>
    <w:tmpl w:val="49456FED"/>
    <w:lvl w:ilvl="0" w:tentative="0">
      <w:start w:val="1"/>
      <w:numFmt w:val="decimal"/>
      <w:suff w:val="nothing"/>
      <w:lvlText w:val="（%1）"/>
      <w:lvlJc w:val="left"/>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WVjNDM1OTAyNDQ2MTBjNDM1MWMxYmRhOGE3MTIifQ=="/>
  </w:docVars>
  <w:rsids>
    <w:rsidRoot w:val="00172A27"/>
    <w:rsid w:val="000014C5"/>
    <w:rsid w:val="00002AE4"/>
    <w:rsid w:val="00003626"/>
    <w:rsid w:val="000040DE"/>
    <w:rsid w:val="000070F0"/>
    <w:rsid w:val="000075E8"/>
    <w:rsid w:val="00011B4B"/>
    <w:rsid w:val="000129E2"/>
    <w:rsid w:val="00016B79"/>
    <w:rsid w:val="00017816"/>
    <w:rsid w:val="00032ACA"/>
    <w:rsid w:val="0003632F"/>
    <w:rsid w:val="00041CAA"/>
    <w:rsid w:val="00043835"/>
    <w:rsid w:val="0004739C"/>
    <w:rsid w:val="00051E02"/>
    <w:rsid w:val="000523C9"/>
    <w:rsid w:val="0005298B"/>
    <w:rsid w:val="0005417C"/>
    <w:rsid w:val="000576E1"/>
    <w:rsid w:val="00061A7C"/>
    <w:rsid w:val="00063981"/>
    <w:rsid w:val="00074C38"/>
    <w:rsid w:val="00080A2A"/>
    <w:rsid w:val="000816AD"/>
    <w:rsid w:val="00082CC1"/>
    <w:rsid w:val="00084249"/>
    <w:rsid w:val="00090C5A"/>
    <w:rsid w:val="00091B1C"/>
    <w:rsid w:val="00091D22"/>
    <w:rsid w:val="000A164E"/>
    <w:rsid w:val="000A3057"/>
    <w:rsid w:val="000A48A9"/>
    <w:rsid w:val="000B1068"/>
    <w:rsid w:val="000B3002"/>
    <w:rsid w:val="000B3A64"/>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766"/>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002"/>
    <w:rsid w:val="002339D3"/>
    <w:rsid w:val="00234257"/>
    <w:rsid w:val="002348E0"/>
    <w:rsid w:val="00254E1A"/>
    <w:rsid w:val="00262555"/>
    <w:rsid w:val="0026275A"/>
    <w:rsid w:val="00263663"/>
    <w:rsid w:val="002643C1"/>
    <w:rsid w:val="00265203"/>
    <w:rsid w:val="00270223"/>
    <w:rsid w:val="0027199E"/>
    <w:rsid w:val="00271D47"/>
    <w:rsid w:val="002721EA"/>
    <w:rsid w:val="002752BA"/>
    <w:rsid w:val="002761C6"/>
    <w:rsid w:val="00280E8A"/>
    <w:rsid w:val="00285164"/>
    <w:rsid w:val="002855B0"/>
    <w:rsid w:val="00286959"/>
    <w:rsid w:val="002941DF"/>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17DBF"/>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51E4"/>
    <w:rsid w:val="003A71F3"/>
    <w:rsid w:val="003B19F5"/>
    <w:rsid w:val="003D0E0A"/>
    <w:rsid w:val="003D3B22"/>
    <w:rsid w:val="003D7B3D"/>
    <w:rsid w:val="003E0348"/>
    <w:rsid w:val="003F3DB1"/>
    <w:rsid w:val="003F451E"/>
    <w:rsid w:val="003F4939"/>
    <w:rsid w:val="003F626F"/>
    <w:rsid w:val="003F6794"/>
    <w:rsid w:val="003F7374"/>
    <w:rsid w:val="00402B32"/>
    <w:rsid w:val="0040519F"/>
    <w:rsid w:val="0040781E"/>
    <w:rsid w:val="00410C93"/>
    <w:rsid w:val="004115FB"/>
    <w:rsid w:val="00411B4A"/>
    <w:rsid w:val="004134DD"/>
    <w:rsid w:val="00417E99"/>
    <w:rsid w:val="00421507"/>
    <w:rsid w:val="00424D02"/>
    <w:rsid w:val="0042525A"/>
    <w:rsid w:val="0042733C"/>
    <w:rsid w:val="00433692"/>
    <w:rsid w:val="0044185A"/>
    <w:rsid w:val="0044193A"/>
    <w:rsid w:val="0044647E"/>
    <w:rsid w:val="00453B8F"/>
    <w:rsid w:val="004556B7"/>
    <w:rsid w:val="0045580D"/>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550E"/>
    <w:rsid w:val="004E55DB"/>
    <w:rsid w:val="004E67C6"/>
    <w:rsid w:val="004F5959"/>
    <w:rsid w:val="004F670C"/>
    <w:rsid w:val="00502B2F"/>
    <w:rsid w:val="005033D3"/>
    <w:rsid w:val="00512D00"/>
    <w:rsid w:val="00512D44"/>
    <w:rsid w:val="00514179"/>
    <w:rsid w:val="00516243"/>
    <w:rsid w:val="005164D4"/>
    <w:rsid w:val="005347F2"/>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2BA3"/>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2974"/>
    <w:rsid w:val="00842F87"/>
    <w:rsid w:val="00843A88"/>
    <w:rsid w:val="00843D2E"/>
    <w:rsid w:val="00847151"/>
    <w:rsid w:val="0085550A"/>
    <w:rsid w:val="008616EF"/>
    <w:rsid w:val="00863C25"/>
    <w:rsid w:val="008641B7"/>
    <w:rsid w:val="00864D80"/>
    <w:rsid w:val="00864DC1"/>
    <w:rsid w:val="00866B0A"/>
    <w:rsid w:val="00866DC2"/>
    <w:rsid w:val="00870530"/>
    <w:rsid w:val="008705BC"/>
    <w:rsid w:val="00871999"/>
    <w:rsid w:val="00872E27"/>
    <w:rsid w:val="00875A42"/>
    <w:rsid w:val="0088192C"/>
    <w:rsid w:val="008904A8"/>
    <w:rsid w:val="00891D94"/>
    <w:rsid w:val="00896589"/>
    <w:rsid w:val="008A0CEE"/>
    <w:rsid w:val="008A19AF"/>
    <w:rsid w:val="008A20FB"/>
    <w:rsid w:val="008A4D88"/>
    <w:rsid w:val="008C119C"/>
    <w:rsid w:val="008C1B22"/>
    <w:rsid w:val="008C4C84"/>
    <w:rsid w:val="008C510F"/>
    <w:rsid w:val="008D067F"/>
    <w:rsid w:val="008D3283"/>
    <w:rsid w:val="008E311A"/>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A544B"/>
    <w:rsid w:val="009B6208"/>
    <w:rsid w:val="009B71FF"/>
    <w:rsid w:val="009C3034"/>
    <w:rsid w:val="009C4BFF"/>
    <w:rsid w:val="009C7522"/>
    <w:rsid w:val="009D0FDD"/>
    <w:rsid w:val="009D3162"/>
    <w:rsid w:val="009D3181"/>
    <w:rsid w:val="009D7B9B"/>
    <w:rsid w:val="009E067B"/>
    <w:rsid w:val="009E717E"/>
    <w:rsid w:val="009E737D"/>
    <w:rsid w:val="009F18FA"/>
    <w:rsid w:val="009F1B28"/>
    <w:rsid w:val="00A0197B"/>
    <w:rsid w:val="00A02768"/>
    <w:rsid w:val="00A03977"/>
    <w:rsid w:val="00A06013"/>
    <w:rsid w:val="00A07087"/>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D1B93"/>
    <w:rsid w:val="00CD3BD4"/>
    <w:rsid w:val="00CD3CC8"/>
    <w:rsid w:val="00CD4915"/>
    <w:rsid w:val="00CD60BD"/>
    <w:rsid w:val="00CD635D"/>
    <w:rsid w:val="00CD6DEE"/>
    <w:rsid w:val="00CD7C5B"/>
    <w:rsid w:val="00CD7CED"/>
    <w:rsid w:val="00CE04C7"/>
    <w:rsid w:val="00CE2AC9"/>
    <w:rsid w:val="00CE2AFE"/>
    <w:rsid w:val="00CE6B02"/>
    <w:rsid w:val="00CE7B14"/>
    <w:rsid w:val="00CF156B"/>
    <w:rsid w:val="00CF1E02"/>
    <w:rsid w:val="00CF4BD6"/>
    <w:rsid w:val="00CF597A"/>
    <w:rsid w:val="00CF7124"/>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7B1"/>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6C85"/>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2B66"/>
    <w:rsid w:val="00FE326F"/>
    <w:rsid w:val="00FE4CC7"/>
    <w:rsid w:val="00FE5C31"/>
    <w:rsid w:val="00FF0F20"/>
    <w:rsid w:val="00FF1B0E"/>
    <w:rsid w:val="00FF268A"/>
    <w:rsid w:val="00FF748B"/>
    <w:rsid w:val="02D4768E"/>
    <w:rsid w:val="041457E8"/>
    <w:rsid w:val="045559CC"/>
    <w:rsid w:val="05A85FE3"/>
    <w:rsid w:val="05E74E62"/>
    <w:rsid w:val="06A05C25"/>
    <w:rsid w:val="07584455"/>
    <w:rsid w:val="07F84E71"/>
    <w:rsid w:val="08B009EB"/>
    <w:rsid w:val="08EC4F18"/>
    <w:rsid w:val="09A73D7B"/>
    <w:rsid w:val="0A4E0677"/>
    <w:rsid w:val="0C30278A"/>
    <w:rsid w:val="0C9E75C1"/>
    <w:rsid w:val="0D6D6D47"/>
    <w:rsid w:val="0DC82110"/>
    <w:rsid w:val="0E36425D"/>
    <w:rsid w:val="0E6420CA"/>
    <w:rsid w:val="0E8536A2"/>
    <w:rsid w:val="0E9E3446"/>
    <w:rsid w:val="0EBF440A"/>
    <w:rsid w:val="0F437B57"/>
    <w:rsid w:val="0F990090"/>
    <w:rsid w:val="0F9B4263"/>
    <w:rsid w:val="0FC3607D"/>
    <w:rsid w:val="11420035"/>
    <w:rsid w:val="12D5724B"/>
    <w:rsid w:val="147A5E14"/>
    <w:rsid w:val="15AB34F1"/>
    <w:rsid w:val="16643D97"/>
    <w:rsid w:val="1732777D"/>
    <w:rsid w:val="175A3EB4"/>
    <w:rsid w:val="17A1211B"/>
    <w:rsid w:val="1830456F"/>
    <w:rsid w:val="18ED7A84"/>
    <w:rsid w:val="1A6B191D"/>
    <w:rsid w:val="1AEC1033"/>
    <w:rsid w:val="1B636043"/>
    <w:rsid w:val="1BED4E7D"/>
    <w:rsid w:val="1C0020E8"/>
    <w:rsid w:val="1C0A55B8"/>
    <w:rsid w:val="1E006819"/>
    <w:rsid w:val="1F1FA109"/>
    <w:rsid w:val="1F4A2E8F"/>
    <w:rsid w:val="1F915726"/>
    <w:rsid w:val="214959F4"/>
    <w:rsid w:val="21864056"/>
    <w:rsid w:val="22E05E65"/>
    <w:rsid w:val="237C0668"/>
    <w:rsid w:val="24060D56"/>
    <w:rsid w:val="2483337D"/>
    <w:rsid w:val="259D45CC"/>
    <w:rsid w:val="26111D82"/>
    <w:rsid w:val="262D59C5"/>
    <w:rsid w:val="26DD6558"/>
    <w:rsid w:val="27FD4BA0"/>
    <w:rsid w:val="28726E69"/>
    <w:rsid w:val="28B3315D"/>
    <w:rsid w:val="2AA01F44"/>
    <w:rsid w:val="2BD92719"/>
    <w:rsid w:val="2C1D25A1"/>
    <w:rsid w:val="2E1F2A86"/>
    <w:rsid w:val="2E2C7A19"/>
    <w:rsid w:val="2F530B70"/>
    <w:rsid w:val="32124A43"/>
    <w:rsid w:val="33241305"/>
    <w:rsid w:val="33640164"/>
    <w:rsid w:val="33DE5327"/>
    <w:rsid w:val="33DF11FD"/>
    <w:rsid w:val="34480C48"/>
    <w:rsid w:val="34AF7FD2"/>
    <w:rsid w:val="35C37DC3"/>
    <w:rsid w:val="36D264F7"/>
    <w:rsid w:val="37DFB5C0"/>
    <w:rsid w:val="389A0431"/>
    <w:rsid w:val="38FC1CB1"/>
    <w:rsid w:val="38FD340A"/>
    <w:rsid w:val="3A243E65"/>
    <w:rsid w:val="3AEF3E7A"/>
    <w:rsid w:val="3C2E730F"/>
    <w:rsid w:val="3C590A97"/>
    <w:rsid w:val="3C796807"/>
    <w:rsid w:val="3D0C5A6A"/>
    <w:rsid w:val="3D4959E5"/>
    <w:rsid w:val="3DA96416"/>
    <w:rsid w:val="3DBF806F"/>
    <w:rsid w:val="3F324E04"/>
    <w:rsid w:val="3FD72BFC"/>
    <w:rsid w:val="406334F2"/>
    <w:rsid w:val="40641C32"/>
    <w:rsid w:val="41E731BA"/>
    <w:rsid w:val="43BA05EB"/>
    <w:rsid w:val="43FB34E3"/>
    <w:rsid w:val="452C7897"/>
    <w:rsid w:val="45392D94"/>
    <w:rsid w:val="46291965"/>
    <w:rsid w:val="46D80540"/>
    <w:rsid w:val="48F94329"/>
    <w:rsid w:val="493F46D0"/>
    <w:rsid w:val="497B7CB3"/>
    <w:rsid w:val="4ABC7A01"/>
    <w:rsid w:val="4B2D12E0"/>
    <w:rsid w:val="4B413C02"/>
    <w:rsid w:val="4BEB6B31"/>
    <w:rsid w:val="4C6F5AD6"/>
    <w:rsid w:val="4CFD344F"/>
    <w:rsid w:val="4D5048A0"/>
    <w:rsid w:val="4DA40DD2"/>
    <w:rsid w:val="4DB52955"/>
    <w:rsid w:val="4DD36371"/>
    <w:rsid w:val="4DEE4616"/>
    <w:rsid w:val="4DEF1D73"/>
    <w:rsid w:val="4E8C71ED"/>
    <w:rsid w:val="4EF34216"/>
    <w:rsid w:val="503A3817"/>
    <w:rsid w:val="50677EF4"/>
    <w:rsid w:val="50982285"/>
    <w:rsid w:val="51E942BF"/>
    <w:rsid w:val="52C56ECE"/>
    <w:rsid w:val="52D92ACB"/>
    <w:rsid w:val="52E97AF8"/>
    <w:rsid w:val="53B4776F"/>
    <w:rsid w:val="54093788"/>
    <w:rsid w:val="541A71CC"/>
    <w:rsid w:val="546D0516"/>
    <w:rsid w:val="55506FD7"/>
    <w:rsid w:val="568330AC"/>
    <w:rsid w:val="570B1838"/>
    <w:rsid w:val="579831C5"/>
    <w:rsid w:val="57FD1EBD"/>
    <w:rsid w:val="581B0D32"/>
    <w:rsid w:val="585D2567"/>
    <w:rsid w:val="586070ED"/>
    <w:rsid w:val="599211F9"/>
    <w:rsid w:val="5AB8507A"/>
    <w:rsid w:val="5C003417"/>
    <w:rsid w:val="5CA67F0E"/>
    <w:rsid w:val="5CB70DE5"/>
    <w:rsid w:val="5CD92B33"/>
    <w:rsid w:val="5CF43A25"/>
    <w:rsid w:val="5D742A91"/>
    <w:rsid w:val="5DB7243A"/>
    <w:rsid w:val="5E2603C6"/>
    <w:rsid w:val="606C77EB"/>
    <w:rsid w:val="60FB4A53"/>
    <w:rsid w:val="62807AFE"/>
    <w:rsid w:val="63586547"/>
    <w:rsid w:val="6467598A"/>
    <w:rsid w:val="64AA1DAB"/>
    <w:rsid w:val="68B04D43"/>
    <w:rsid w:val="68D75A1D"/>
    <w:rsid w:val="693A6327"/>
    <w:rsid w:val="69786522"/>
    <w:rsid w:val="6BDFAB0A"/>
    <w:rsid w:val="6BE75F37"/>
    <w:rsid w:val="6C89785F"/>
    <w:rsid w:val="6C9F3448"/>
    <w:rsid w:val="6E6957BE"/>
    <w:rsid w:val="6EEA3447"/>
    <w:rsid w:val="6F3422D1"/>
    <w:rsid w:val="6F3631A1"/>
    <w:rsid w:val="6F742218"/>
    <w:rsid w:val="6F7FE37A"/>
    <w:rsid w:val="6FE7054D"/>
    <w:rsid w:val="6FE969BF"/>
    <w:rsid w:val="6FFD67CF"/>
    <w:rsid w:val="730B244E"/>
    <w:rsid w:val="73CC0EE6"/>
    <w:rsid w:val="74D70DF7"/>
    <w:rsid w:val="76B6276A"/>
    <w:rsid w:val="773FE678"/>
    <w:rsid w:val="77A52F9E"/>
    <w:rsid w:val="7860333A"/>
    <w:rsid w:val="789F3DA6"/>
    <w:rsid w:val="78A52377"/>
    <w:rsid w:val="791B2483"/>
    <w:rsid w:val="7A304654"/>
    <w:rsid w:val="7B5B7497"/>
    <w:rsid w:val="7C97D028"/>
    <w:rsid w:val="7D2557AC"/>
    <w:rsid w:val="7E5D029C"/>
    <w:rsid w:val="7FDF8BFB"/>
    <w:rsid w:val="7FFA3A5E"/>
    <w:rsid w:val="BEDB8C67"/>
    <w:rsid w:val="BEF7357C"/>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Lines/>
      <w:spacing w:before="260" w:after="260" w:line="413" w:lineRule="auto"/>
      <w:outlineLvl w:val="2"/>
    </w:pPr>
    <w:rPr>
      <w:b/>
      <w:sz w:val="32"/>
    </w:rPr>
  </w:style>
  <w:style w:type="paragraph" w:styleId="6">
    <w:name w:val="heading 4"/>
    <w:basedOn w:val="5"/>
    <w:next w:val="1"/>
    <w:qFormat/>
    <w:uiPriority w:val="0"/>
    <w:pPr>
      <w:spacing w:before="280" w:after="290" w:line="372" w:lineRule="auto"/>
      <w:outlineLvl w:val="3"/>
    </w:pPr>
    <w:rPr>
      <w:rFonts w:ascii="Arial" w:hAnsi="Arial" w:eastAsia="黑体"/>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8"/>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next w:val="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kern w:val="28"/>
      <w:sz w:val="36"/>
      <w:lang w:eastAsia="en-US"/>
    </w:rPr>
  </w:style>
  <w:style w:type="paragraph" w:styleId="54">
    <w:name w:val="annotation subject"/>
    <w:basedOn w:val="20"/>
    <w:next w:val="20"/>
    <w:link w:val="75"/>
    <w:qFormat/>
    <w:uiPriority w:val="0"/>
    <w:pPr>
      <w:adjustRightInd/>
      <w:spacing w:line="240" w:lineRule="auto"/>
    </w:pPr>
  </w:style>
  <w:style w:type="paragraph" w:styleId="55">
    <w:name w:val="Body Text First Indent"/>
    <w:basedOn w:val="2"/>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标书正文1"/>
    <w:basedOn w:val="1"/>
    <w:qFormat/>
    <w:uiPriority w:val="0"/>
    <w:pPr>
      <w:spacing w:line="520" w:lineRule="exact"/>
      <w:ind w:firstLine="640" w:firstLineChars="200"/>
    </w:p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3"/>
    <w:qFormat/>
    <w:uiPriority w:val="0"/>
    <w:rPr>
      <w:kern w:val="2"/>
      <w:sz w:val="44"/>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文本首行缩进 2 字符"/>
    <w:link w:val="56"/>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line="360" w:lineRule="auto"/>
      <w:ind w:firstLine="200" w:firstLineChars="200"/>
    </w:pPr>
    <w:rPr>
      <w:spacing w:val="2"/>
      <w:sz w:val="24"/>
    </w:rPr>
  </w:style>
  <w:style w:type="paragraph" w:customStyle="1" w:styleId="107">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pPr>
    <w:rPr>
      <w:kern w:val="0"/>
      <w:sz w:val="18"/>
    </w:rPr>
  </w:style>
  <w:style w:type="paragraph" w:customStyle="1" w:styleId="109">
    <w:name w:val="Title - Revision"/>
    <w:basedOn w:val="53"/>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2">
    <w:name w:val="二级条标题"/>
    <w:basedOn w:val="113"/>
    <w:qFormat/>
    <w:uiPriority w:val="0"/>
    <w:pPr>
      <w:ind w:left="840"/>
      <w:outlineLvl w:val="3"/>
    </w:pPr>
  </w:style>
  <w:style w:type="paragraph" w:customStyle="1" w:styleId="113">
    <w:name w:val="一级条标题"/>
    <w:basedOn w:val="114"/>
    <w:qFormat/>
    <w:uiPriority w:val="0"/>
    <w:pPr>
      <w:numPr>
        <w:numId w:val="0"/>
      </w:numPr>
      <w:spacing w:before="0" w:beforeLines="0" w:after="0" w:afterLines="0"/>
      <w:ind w:left="525"/>
      <w:outlineLvl w:val="2"/>
    </w:pPr>
    <w:rPr>
      <w:sz w:val="21"/>
    </w:rPr>
  </w:style>
  <w:style w:type="paragraph" w:customStyle="1" w:styleId="114">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0">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qFormat/>
    <w:uiPriority w:val="0"/>
    <w:rPr>
      <w:rFonts w:ascii="Tahoma" w:hAnsi="Tahoma"/>
      <w:sz w:val="24"/>
    </w:rPr>
  </w:style>
  <w:style w:type="paragraph" w:customStyle="1" w:styleId="138">
    <w:name w:val="样式2"/>
    <w:basedOn w:val="6"/>
    <w:qFormat/>
    <w:uiPriority w:val="0"/>
    <w:pPr>
      <w:numPr>
        <w:ilvl w:val="0"/>
        <w:numId w:val="6"/>
      </w:numPr>
      <w:spacing w:before="560" w:line="400" w:lineRule="exact"/>
      <w:jc w:val="center"/>
      <w:outlineLvl w:val="0"/>
    </w:pPr>
    <w:rPr>
      <w:b w:val="0"/>
      <w:sz w:val="44"/>
    </w:rPr>
  </w:style>
  <w:style w:type="paragraph" w:customStyle="1" w:styleId="139">
    <w:name w:val="内容标题"/>
    <w:basedOn w:val="18"/>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qFormat/>
    <w:uiPriority w:val="0"/>
    <w:rPr>
      <w:rFonts w:ascii="宋体" w:hAnsi="Courier New"/>
      <w:sz w:val="21"/>
    </w:rPr>
  </w:style>
  <w:style w:type="paragraph" w:customStyle="1" w:styleId="142">
    <w:name w:val="列表项目"/>
    <w:basedOn w:val="1"/>
    <w:qFormat/>
    <w:uiPriority w:val="0"/>
    <w:pPr>
      <w:tabs>
        <w:tab w:val="left" w:pos="42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8"/>
    <w:qFormat/>
    <w:uiPriority w:val="0"/>
    <w:rPr>
      <w:rFonts w:ascii="宋体" w:hAnsi="Tahoma"/>
    </w:rPr>
  </w:style>
  <w:style w:type="paragraph" w:customStyle="1" w:styleId="145">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3"/>
    <w:qFormat/>
    <w:uiPriority w:val="0"/>
    <w:pPr>
      <w:spacing w:before="60" w:after="60" w:line="360" w:lineRule="auto"/>
      <w:ind w:left="0" w:firstLine="482"/>
    </w:pPr>
    <w:rPr>
      <w:rFonts w:ascii="Arial" w:hAnsi="Arial"/>
      <w:sz w:val="24"/>
    </w:rPr>
  </w:style>
  <w:style w:type="paragraph" w:customStyle="1" w:styleId="155">
    <w:name w:val="正文文本 21"/>
    <w:basedOn w:val="1"/>
    <w:qFormat/>
    <w:uiPriority w:val="0"/>
    <w:pPr>
      <w:adjustRightInd w:val="0"/>
      <w:spacing w:before="120" w:line="360" w:lineRule="auto"/>
      <w:ind w:firstLine="480"/>
    </w:pPr>
    <w:rPr>
      <w:sz w:val="24"/>
    </w:rPr>
  </w:style>
  <w:style w:type="paragraph" w:customStyle="1" w:styleId="156">
    <w:name w:val="样式1"/>
    <w:basedOn w:val="6"/>
    <w:qFormat/>
    <w:uiPriority w:val="0"/>
    <w:pPr>
      <w:tabs>
        <w:tab w:val="left" w:pos="720"/>
      </w:tabs>
      <w:spacing w:before="500" w:after="260" w:line="560" w:lineRule="atLeast"/>
      <w:ind w:left="420" w:hanging="420"/>
    </w:p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qFormat/>
    <w:uiPriority w:val="0"/>
    <w:pPr>
      <w:tabs>
        <w:tab w:val="left" w:pos="1304"/>
      </w:tabs>
      <w:ind w:left="425" w:hanging="425"/>
      <w:outlineLvl w:val="0"/>
    </w:pPr>
    <w:rPr>
      <w:rFonts w:ascii="黑体" w:hAnsi="黑体" w:eastAsia="黑体"/>
      <w:b/>
      <w:sz w:val="44"/>
    </w:rPr>
  </w:style>
  <w:style w:type="paragraph" w:customStyle="1" w:styleId="16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6">
    <w:name w:val="关键词"/>
    <w:basedOn w:val="1"/>
    <w:qFormat/>
    <w:uiPriority w:val="0"/>
    <w:pPr>
      <w:spacing w:line="360" w:lineRule="auto"/>
    </w:pPr>
    <w:rPr>
      <w:rFonts w:eastAsia="黑体"/>
      <w:sz w:val="20"/>
    </w:rPr>
  </w:style>
  <w:style w:type="paragraph" w:customStyle="1" w:styleId="167">
    <w:name w:val="Title - Date"/>
    <w:basedOn w:val="53"/>
    <w:qFormat/>
    <w:uiPriority w:val="0"/>
    <w:pPr>
      <w:spacing w:before="240" w:after="720"/>
    </w:pPr>
    <w:rPr>
      <w:sz w:val="28"/>
    </w:rPr>
  </w:style>
  <w:style w:type="paragraph" w:customStyle="1" w:styleId="16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9">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1">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5"/>
    <w:qFormat/>
    <w:uiPriority w:val="0"/>
    <w:pPr>
      <w:numPr>
        <w:ilvl w:val="2"/>
        <w:numId w:val="9"/>
      </w:numPr>
      <w:tabs>
        <w:tab w:val="left" w:pos="709"/>
        <w:tab w:val="left" w:pos="1620"/>
      </w:tabs>
    </w:pPr>
  </w:style>
  <w:style w:type="paragraph" w:customStyle="1" w:styleId="174">
    <w:name w:val="样式4"/>
    <w:basedOn w:val="6"/>
    <w:qFormat/>
    <w:uiPriority w:val="0"/>
    <w:pPr>
      <w:adjustRightInd w:val="0"/>
    </w:pPr>
  </w:style>
  <w:style w:type="paragraph" w:customStyle="1" w:styleId="175">
    <w:name w:val="摘要"/>
    <w:basedOn w:val="1"/>
    <w:qFormat/>
    <w:uiPriority w:val="0"/>
    <w:pPr>
      <w:spacing w:line="360" w:lineRule="auto"/>
    </w:pPr>
    <w:rPr>
      <w:rFonts w:eastAsia="黑体"/>
      <w:sz w:val="20"/>
    </w:rPr>
  </w:style>
  <w:style w:type="paragraph" w:customStyle="1" w:styleId="176">
    <w:name w:val="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after="120" w:line="360" w:lineRule="auto"/>
    </w:pPr>
    <w:rPr>
      <w:sz w:val="24"/>
    </w:rPr>
  </w:style>
  <w:style w:type="paragraph" w:customStyle="1" w:styleId="179">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6"/>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Char1 Char Char Char"/>
    <w:basedOn w:val="1"/>
    <w:qFormat/>
    <w:uiPriority w:val="0"/>
    <w:rPr>
      <w:rFonts w:ascii="Tahoma" w:hAnsi="Tahoma"/>
      <w:sz w:val="24"/>
    </w:rPr>
  </w:style>
  <w:style w:type="paragraph" w:customStyle="1" w:styleId="185">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89">
    <w:name w:val="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pPr>
    <w:rPr>
      <w:kern w:val="0"/>
      <w:sz w:val="24"/>
    </w:rPr>
  </w:style>
  <w:style w:type="paragraph" w:customStyle="1" w:styleId="194">
    <w:name w:val="Char1 Char Char Char1"/>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7">
    <w:name w:val="Char Char Char"/>
    <w:basedOn w:val="1"/>
    <w:qFormat/>
    <w:uiPriority w:val="0"/>
    <w:rPr>
      <w:rFonts w:ascii="Tahoma" w:hAnsi="Tahoma"/>
      <w:sz w:val="24"/>
    </w:rPr>
  </w:style>
  <w:style w:type="paragraph" w:customStyle="1" w:styleId="1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9">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after="60" w:line="360" w:lineRule="auto"/>
      <w:ind w:left="200" w:leftChars="200" w:firstLine="200" w:firstLineChars="200"/>
    </w:pPr>
    <w:rPr>
      <w:sz w:val="24"/>
    </w:rPr>
  </w:style>
  <w:style w:type="paragraph" w:customStyle="1" w:styleId="206">
    <w:name w:val="正文表格"/>
    <w:basedOn w:val="1"/>
    <w:qFormat/>
    <w:uiPriority w:val="0"/>
    <w:pPr>
      <w:adjustRightInd w:val="0"/>
      <w:spacing w:before="40" w:after="4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正文文本缩进 21"/>
    <w:basedOn w:val="1"/>
    <w:qFormat/>
    <w:uiPriority w:val="0"/>
    <w:pPr>
      <w:adjustRightInd w:val="0"/>
      <w:spacing w:before="120"/>
      <w:ind w:firstLine="420"/>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Autospacing="1" w:after="100" w:afterAutospacing="1" w:line="360" w:lineRule="auto"/>
    </w:pPr>
    <w:rPr>
      <w:kern w:val="0"/>
      <w:sz w:val="24"/>
    </w:rPr>
  </w:style>
  <w:style w:type="paragraph" w:customStyle="1" w:styleId="221">
    <w:name w:val="附录3"/>
    <w:basedOn w:val="1"/>
    <w:qFormat/>
    <w:uiPriority w:val="0"/>
    <w:p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pPr>
    <w:rPr>
      <w:kern w:val="0"/>
      <w:sz w:val="24"/>
    </w:rPr>
  </w:style>
  <w:style w:type="paragraph" w:customStyle="1" w:styleId="223">
    <w:name w:val="首行缩进 1"/>
    <w:basedOn w:val="1"/>
    <w:qFormat/>
    <w:uiPriority w:val="0"/>
    <w:pPr>
      <w:spacing w:after="120" w:line="360" w:lineRule="auto"/>
      <w:ind w:firstLine="200" w:firstLineChars="200"/>
    </w:pPr>
    <w:rPr>
      <w:sz w:val="24"/>
    </w:rPr>
  </w:style>
  <w:style w:type="paragraph" w:customStyle="1" w:styleId="224">
    <w:name w:val="Char11"/>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6">
    <w:name w:val="图例"/>
    <w:basedOn w:val="1"/>
    <w:qFormat/>
    <w:uiPriority w:val="0"/>
    <w:pPr>
      <w:spacing w:before="120" w:after="120" w:line="360" w:lineRule="auto"/>
      <w:jc w:val="center"/>
    </w:pPr>
    <w:rPr>
      <w:rFonts w:eastAsia="仿宋_GB2312"/>
      <w:b/>
      <w:sz w:val="24"/>
    </w:rPr>
  </w:style>
  <w:style w:type="table" w:customStyle="1" w:styleId="237">
    <w:name w:val="Table Normal"/>
    <w:unhideWhenUsed/>
    <w:qFormat/>
    <w:uiPriority w:val="0"/>
    <w:tblPr>
      <w:tblCellMar>
        <w:top w:w="0" w:type="dxa"/>
        <w:left w:w="0" w:type="dxa"/>
        <w:bottom w:w="0" w:type="dxa"/>
        <w:right w:w="0" w:type="dxa"/>
      </w:tblCellMar>
    </w:tblPr>
  </w:style>
  <w:style w:type="character" w:customStyle="1" w:styleId="238">
    <w:name w:val="正文文本 字符"/>
    <w:basedOn w:val="59"/>
    <w:link w:val="2"/>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4030</Words>
  <Characters>4382</Characters>
  <Lines>312</Lines>
  <Paragraphs>147</Paragraphs>
  <TotalTime>0</TotalTime>
  <ScaleCrop>false</ScaleCrop>
  <LinksUpToDate>false</LinksUpToDate>
  <CharactersWithSpaces>4576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2024-01-16T14:36:00Z</dcterms:created>
  <cp:lastPrinted>2024-01-18T11:09:00Z</cp:lastPrinted>
  <dcterms:modified xsi:type="dcterms:W3CDTF">2025-05-22T05:29:31Z</dcterms:modified>
  <dc:title>竞争性谈判文件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2768D1B03F3B4937AEEEC78750F04DD8_13</vt:lpwstr>
  </property>
  <property fmtid="{D5CDD505-2E9C-101B-9397-08002B2CF9AE}" pid="4" name="KSOSaveFontToCloudKey">
    <vt:lpwstr>518781431_cloud</vt:lpwstr>
  </property>
  <property fmtid="{D5CDD505-2E9C-101B-9397-08002B2CF9AE}" pid="5" name="KSOTemplateDocerSaveRecord">
    <vt:lpwstr>eyJoZGlkIjoiYmQ0YzUyOTE2ODYxM2UyNmIzMjNjM2U3MWEyY2M4ODEiLCJ1c2VySWQiOiI2MTYzNzM0MjIifQ==</vt:lpwstr>
  </property>
</Properties>
</file>