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84"/>
          <w:szCs w:val="84"/>
          <w:highlight w:val="none"/>
        </w:rPr>
      </w:pPr>
    </w:p>
    <w:p>
      <w:pPr>
        <w:spacing w:line="1600" w:lineRule="exact"/>
        <w:jc w:val="center"/>
        <w:outlineLvl w:val="0"/>
        <w:rPr>
          <w:rFonts w:hint="eastAsia" w:asciiTheme="minorEastAsia" w:hAnsiTheme="minorEastAsia" w:eastAsiaTheme="minorEastAsia" w:cstheme="minorEastAsia"/>
          <w:color w:val="auto"/>
          <w:sz w:val="144"/>
          <w:szCs w:val="144"/>
          <w:highlight w:val="none"/>
        </w:rPr>
      </w:pPr>
      <w:r>
        <w:rPr>
          <w:rFonts w:hint="eastAsia" w:asciiTheme="minorEastAsia" w:hAnsiTheme="minorEastAsia" w:eastAsiaTheme="minorEastAsia" w:cstheme="minorEastAsia"/>
          <w:color w:val="auto"/>
          <w:sz w:val="96"/>
          <w:szCs w:val="96"/>
          <w:highlight w:val="none"/>
        </w:rPr>
        <w:t>竞争性磋商文件</w:t>
      </w:r>
    </w:p>
    <w:p>
      <w:pPr>
        <w:pStyle w:val="4"/>
        <w:rPr>
          <w:rFonts w:hint="eastAsia" w:asciiTheme="minorEastAsia" w:hAnsiTheme="minorEastAsia" w:eastAsiaTheme="minorEastAsia" w:cstheme="minorEastAsia"/>
          <w:color w:val="auto"/>
          <w:highlight w:val="none"/>
        </w:rPr>
      </w:pPr>
    </w:p>
    <w:p>
      <w:pPr>
        <w:spacing w:line="700" w:lineRule="exact"/>
        <w:jc w:val="center"/>
        <w:rPr>
          <w:rFonts w:hint="eastAsia" w:asciiTheme="minorEastAsia" w:hAnsiTheme="minorEastAsia" w:eastAsiaTheme="minorEastAsia" w:cstheme="minorEastAsia"/>
          <w:color w:val="auto"/>
          <w:sz w:val="32"/>
          <w:highlight w:val="none"/>
        </w:rPr>
      </w:pPr>
    </w:p>
    <w:p>
      <w:pPr>
        <w:pStyle w:val="4"/>
        <w:rPr>
          <w:color w:val="auto"/>
          <w:sz w:val="36"/>
          <w:szCs w:val="21"/>
          <w:highlight w:val="none"/>
        </w:rPr>
      </w:pPr>
    </w:p>
    <w:p>
      <w:pPr>
        <w:spacing w:line="500" w:lineRule="exact"/>
        <w:ind w:firstLine="2000" w:firstLineChars="500"/>
        <w:outlineLvl w:val="0"/>
        <w:rPr>
          <w:rFonts w:hint="eastAsia" w:asciiTheme="minorEastAsia" w:hAnsiTheme="minorEastAsia" w:eastAsiaTheme="minorEastAsia" w:cstheme="minorEastAsia"/>
          <w:color w:val="auto"/>
          <w:sz w:val="40"/>
          <w:szCs w:val="40"/>
          <w:highlight w:val="none"/>
        </w:rPr>
      </w:pPr>
      <w:bookmarkStart w:id="0" w:name="OLE_LINK3"/>
      <w:r>
        <w:rPr>
          <w:rFonts w:hint="eastAsia" w:asciiTheme="minorEastAsia" w:hAnsiTheme="minorEastAsia" w:eastAsiaTheme="minorEastAsia" w:cstheme="minorEastAsia"/>
          <w:color w:val="auto"/>
          <w:sz w:val="40"/>
          <w:szCs w:val="40"/>
          <w:highlight w:val="none"/>
        </w:rPr>
        <w:t>项目编号：</w:t>
      </w:r>
      <w:r>
        <w:rPr>
          <w:rFonts w:hint="eastAsia" w:asciiTheme="minorEastAsia" w:hAnsiTheme="minorEastAsia" w:eastAsiaTheme="minorEastAsia" w:cstheme="minorEastAsia"/>
          <w:color w:val="auto"/>
          <w:sz w:val="40"/>
          <w:szCs w:val="40"/>
          <w:highlight w:val="none"/>
          <w:lang w:eastAsia="zh-CN"/>
        </w:rPr>
        <w:t>HRZ25C164</w:t>
      </w:r>
      <w:r>
        <w:rPr>
          <w:rFonts w:hint="eastAsia" w:asciiTheme="minorEastAsia" w:hAnsiTheme="minorEastAsia" w:eastAsiaTheme="minorEastAsia" w:cstheme="minorEastAsia"/>
          <w:color w:val="auto"/>
          <w:sz w:val="40"/>
          <w:szCs w:val="40"/>
          <w:highlight w:val="none"/>
        </w:rPr>
        <w:t xml:space="preserve"> </w:t>
      </w:r>
    </w:p>
    <w:p>
      <w:pPr>
        <w:spacing w:line="500" w:lineRule="exact"/>
        <w:ind w:left="3776" w:leftChars="0" w:hanging="3776" w:hangingChars="944"/>
        <w:jc w:val="left"/>
        <w:outlineLvl w:val="0"/>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eastAsiaTheme="minorEastAsia" w:cstheme="minorEastAsia"/>
          <w:color w:val="auto"/>
          <w:sz w:val="40"/>
          <w:szCs w:val="40"/>
          <w:highlight w:val="none"/>
        </w:rPr>
        <w:t xml:space="preserve">    </w:t>
      </w:r>
      <w:r>
        <w:rPr>
          <w:rFonts w:hint="eastAsia" w:asciiTheme="minorEastAsia" w:hAnsiTheme="minorEastAsia" w:eastAsiaTheme="minorEastAsia" w:cstheme="minorEastAsia"/>
          <w:color w:val="auto"/>
          <w:sz w:val="40"/>
          <w:szCs w:val="40"/>
          <w:highlight w:val="none"/>
          <w:lang w:val="en-US" w:eastAsia="zh-CN"/>
        </w:rPr>
        <w:t xml:space="preserve">      </w:t>
      </w:r>
      <w:r>
        <w:rPr>
          <w:rFonts w:hint="eastAsia" w:asciiTheme="minorEastAsia" w:hAnsiTheme="minorEastAsia" w:eastAsiaTheme="minorEastAsia" w:cstheme="minorEastAsia"/>
          <w:color w:val="auto"/>
          <w:sz w:val="40"/>
          <w:szCs w:val="40"/>
          <w:highlight w:val="none"/>
        </w:rPr>
        <w:t>项目名称：</w:t>
      </w:r>
      <w:r>
        <w:rPr>
          <w:rFonts w:hint="eastAsia" w:asciiTheme="minorEastAsia" w:hAnsiTheme="minorEastAsia" w:eastAsiaTheme="minorEastAsia" w:cstheme="minorEastAsia"/>
          <w:color w:val="auto"/>
          <w:sz w:val="40"/>
          <w:szCs w:val="40"/>
          <w:highlight w:val="none"/>
          <w:lang w:eastAsia="zh-CN"/>
        </w:rPr>
        <w:t>智库综合服务</w:t>
      </w: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jc w:val="center"/>
        <w:rPr>
          <w:rFonts w:hint="eastAsia" w:asciiTheme="minorEastAsia" w:hAnsiTheme="minorEastAsia" w:eastAsiaTheme="minorEastAsia" w:cstheme="minorEastAsia"/>
          <w:b/>
          <w:color w:val="auto"/>
          <w:sz w:val="36"/>
          <w:szCs w:val="36"/>
          <w:highlight w:val="none"/>
        </w:rPr>
      </w:pP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重庆市农业农村委员会</w:t>
      </w: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采购代理机构：重庆宏仁招标代理有限公司</w:t>
      </w:r>
      <w:bookmarkEnd w:id="0"/>
    </w:p>
    <w:p>
      <w:pPr>
        <w:spacing w:line="500" w:lineRule="exact"/>
        <w:jc w:val="center"/>
        <w:outlineLvl w:val="0"/>
        <w:rPr>
          <w:rFonts w:hint="eastAsia" w:asciiTheme="minorEastAsia" w:hAnsiTheme="minorEastAsia" w:eastAsiaTheme="minorEastAsia" w:cstheme="minorEastAsia"/>
          <w:color w:val="auto"/>
          <w:sz w:val="36"/>
          <w:szCs w:val="36"/>
          <w:highlight w:val="none"/>
        </w:rPr>
      </w:pPr>
    </w:p>
    <w:p>
      <w:pPr>
        <w:spacing w:line="72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32"/>
          <w:szCs w:val="32"/>
          <w:highlight w:val="none"/>
        </w:rPr>
        <w:t>二〇二五年</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6"/>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_Toc21630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竞争性磋商内容</w:t>
      </w:r>
      <w:r>
        <w:rPr>
          <w:color w:val="auto"/>
          <w:highlight w:val="none"/>
        </w:rPr>
        <w:tab/>
      </w:r>
      <w:r>
        <w:rPr>
          <w:color w:val="auto"/>
          <w:highlight w:val="none"/>
        </w:rPr>
        <w:fldChar w:fldCharType="begin"/>
      </w:r>
      <w:r>
        <w:rPr>
          <w:color w:val="auto"/>
          <w:highlight w:val="none"/>
        </w:rPr>
        <w:instrText xml:space="preserve"> PAGEREF _Toc4605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_Toc13401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_Toc13401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三、磋商有关说明</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四、保证金</w:t>
      </w:r>
      <w:r>
        <w:rPr>
          <w:color w:val="auto"/>
          <w:highlight w:val="none"/>
        </w:rPr>
        <w:tab/>
      </w:r>
      <w:r>
        <w:rPr>
          <w:color w:val="auto"/>
          <w:highlight w:val="none"/>
        </w:rPr>
        <w:fldChar w:fldCharType="begin"/>
      </w:r>
      <w:r>
        <w:rPr>
          <w:color w:val="auto"/>
          <w:highlight w:val="none"/>
        </w:rPr>
        <w:instrText xml:space="preserve"> PAGEREF _Toc31178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_Toc21681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六、联系方式</w:t>
      </w:r>
      <w:r>
        <w:rPr>
          <w:color w:val="auto"/>
          <w:highlight w:val="none"/>
        </w:rPr>
        <w:tab/>
      </w:r>
      <w:r>
        <w:rPr>
          <w:color w:val="auto"/>
          <w:highlight w:val="none"/>
        </w:rPr>
        <w:fldChar w:fldCharType="begin"/>
      </w:r>
      <w:r>
        <w:rPr>
          <w:color w:val="auto"/>
          <w:highlight w:val="none"/>
        </w:rPr>
        <w:instrText xml:space="preserve"> PAGEREF _Toc4030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_Toc22375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_Toc19557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_Toc19557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_Toc12067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_Toc7556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_Toc4630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_Toc11759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_Toc941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_Toc17075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_Toc3724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_Toc7141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第六篇  响应文件编制要求</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_Toc19738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_Toc24548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2"/>
        <w:spacing w:line="360" w:lineRule="auto"/>
        <w:jc w:val="center"/>
        <w:rPr>
          <w:rFonts w:hint="eastAsia" w:asciiTheme="minorEastAsia" w:hAnsiTheme="minorEastAsia" w:eastAsiaTheme="minorEastAsia" w:cstheme="minorEastAsia"/>
          <w:bCs/>
          <w:color w:val="auto"/>
          <w:szCs w:val="30"/>
          <w:highlight w:val="none"/>
        </w:rPr>
      </w:pPr>
      <w:bookmarkStart w:id="1" w:name="_Toc106030870"/>
      <w:bookmarkEnd w:id="1"/>
      <w:bookmarkStart w:id="2" w:name="_Toc7314"/>
      <w:bookmarkEnd w:id="2"/>
      <w:bookmarkStart w:id="3" w:name="_Toc76462316"/>
      <w:bookmarkEnd w:id="3"/>
      <w:bookmarkStart w:id="4" w:name="_Toc12789052"/>
      <w:bookmarkEnd w:id="4"/>
      <w:bookmarkStart w:id="5" w:name="_Toc11641050"/>
      <w:bookmarkEnd w:id="5"/>
      <w:bookmarkStart w:id="6" w:name="_Toc21630"/>
      <w:r>
        <w:rPr>
          <w:rFonts w:hint="eastAsia" w:asciiTheme="minorEastAsia" w:hAnsiTheme="minorEastAsia" w:eastAsiaTheme="minorEastAsia" w:cstheme="minorEastAsia"/>
          <w:bCs/>
          <w:color w:val="auto"/>
          <w:sz w:val="36"/>
          <w:szCs w:val="30"/>
          <w:highlight w:val="none"/>
        </w:rPr>
        <w:t>第一篇  采购邀请书</w:t>
      </w:r>
      <w:bookmarkEnd w:id="6"/>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u w:val="none"/>
          <w:lang w:eastAsia="zh-CN"/>
        </w:rPr>
        <w:t>重庆市农业农村委员会</w:t>
      </w:r>
      <w:r>
        <w:rPr>
          <w:rFonts w:hint="eastAsia" w:asciiTheme="minorEastAsia" w:hAnsiTheme="minorEastAsia" w:eastAsiaTheme="minorEastAsia" w:cstheme="minorEastAsia"/>
          <w:color w:val="auto"/>
          <w:sz w:val="24"/>
          <w:szCs w:val="24"/>
          <w:highlight w:val="none"/>
          <w:u w:val="none"/>
        </w:rPr>
        <w:t>（以下简称：采购人）的委托，对</w:t>
      </w:r>
      <w:r>
        <w:rPr>
          <w:rFonts w:hint="eastAsia" w:asciiTheme="minorEastAsia" w:hAnsiTheme="minorEastAsia" w:eastAsiaTheme="minorEastAsia" w:cstheme="minorEastAsia"/>
          <w:b/>
          <w:bCs/>
          <w:color w:val="auto"/>
          <w:sz w:val="24"/>
          <w:szCs w:val="24"/>
          <w:highlight w:val="none"/>
          <w:u w:val="none"/>
          <w:lang w:eastAsia="zh-CN"/>
        </w:rPr>
        <w:t>智库综合服务</w:t>
      </w:r>
      <w:r>
        <w:rPr>
          <w:rFonts w:hint="eastAsia" w:asciiTheme="minorEastAsia" w:hAnsiTheme="minorEastAsia" w:eastAsiaTheme="minorEastAsia" w:cstheme="minorEastAsia"/>
          <w:b/>
          <w:bCs/>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u w:val="none"/>
        </w:rPr>
        <w:t>（项目编号：</w:t>
      </w:r>
      <w:r>
        <w:rPr>
          <w:rFonts w:hint="eastAsia" w:asciiTheme="minorEastAsia" w:hAnsiTheme="minorEastAsia" w:eastAsiaTheme="minorEastAsia" w:cstheme="minorEastAsia"/>
          <w:color w:val="auto"/>
          <w:sz w:val="24"/>
          <w:szCs w:val="24"/>
          <w:highlight w:val="none"/>
          <w:u w:val="none"/>
          <w:lang w:eastAsia="zh-CN"/>
        </w:rPr>
        <w:t>HRZ25C164</w:t>
      </w:r>
      <w:r>
        <w:rPr>
          <w:rFonts w:hint="eastAsia" w:asciiTheme="minorEastAsia" w:hAnsiTheme="minorEastAsia" w:eastAsiaTheme="minorEastAsia" w:cstheme="minorEastAsia"/>
          <w:color w:val="auto"/>
          <w:sz w:val="24"/>
          <w:szCs w:val="24"/>
          <w:highlight w:val="none"/>
          <w:u w:val="none"/>
        </w:rPr>
        <w:t>）进行竞争性磋商采购。欢迎有资格的供应商前来参与磋商。</w:t>
      </w:r>
    </w:p>
    <w:p>
      <w:pPr>
        <w:pStyle w:val="2"/>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7" w:name="_Toc76462317"/>
      <w:bookmarkEnd w:id="7"/>
      <w:bookmarkStart w:id="8" w:name="_Toc317775175"/>
      <w:bookmarkEnd w:id="8"/>
      <w:bookmarkStart w:id="9" w:name="_Toc111"/>
      <w:bookmarkEnd w:id="9"/>
      <w:bookmarkStart w:id="10" w:name="_Toc106030871"/>
      <w:bookmarkEnd w:id="10"/>
      <w:bookmarkStart w:id="11" w:name="_Toc313893526"/>
      <w:bookmarkEnd w:id="11"/>
      <w:bookmarkStart w:id="12" w:name="_Toc4605"/>
      <w:r>
        <w:rPr>
          <w:rFonts w:hint="eastAsia" w:asciiTheme="minorEastAsia" w:hAnsiTheme="minorEastAsia" w:eastAsiaTheme="minorEastAsia" w:cstheme="minorEastAsia"/>
          <w:color w:val="auto"/>
          <w:sz w:val="24"/>
          <w:highlight w:val="none"/>
          <w:u w:val="none"/>
        </w:rPr>
        <w:t>竞争性磋商内容</w:t>
      </w:r>
      <w:bookmarkEnd w:id="12"/>
    </w:p>
    <w:tbl>
      <w:tblPr>
        <w:tblStyle w:val="58"/>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02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04"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项目名称</w:t>
            </w:r>
          </w:p>
        </w:tc>
        <w:tc>
          <w:tcPr>
            <w:tcW w:w="2029"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最高限价（万元）</w:t>
            </w:r>
          </w:p>
        </w:tc>
        <w:tc>
          <w:tcPr>
            <w:tcW w:w="2259"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304"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智库综合服务</w:t>
            </w:r>
          </w:p>
        </w:tc>
        <w:tc>
          <w:tcPr>
            <w:tcW w:w="2029" w:type="dxa"/>
            <w:vAlign w:val="center"/>
          </w:tcPr>
          <w:p>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22</w:t>
            </w:r>
          </w:p>
        </w:tc>
        <w:tc>
          <w:tcPr>
            <w:tcW w:w="2259"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p>
        </w:tc>
      </w:tr>
    </w:tbl>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3" w:name="_Toc21035"/>
      <w:bookmarkEnd w:id="13"/>
      <w:bookmarkStart w:id="14" w:name="_Toc76462318"/>
      <w:bookmarkEnd w:id="14"/>
      <w:bookmarkStart w:id="15" w:name="_Toc106030872"/>
      <w:bookmarkEnd w:id="15"/>
      <w:bookmarkStart w:id="16" w:name="_Toc13401"/>
      <w:bookmarkStart w:id="17" w:name="_Toc373860293"/>
      <w:bookmarkStart w:id="18" w:name="_Toc317775178"/>
      <w:r>
        <w:rPr>
          <w:rFonts w:hint="eastAsia" w:asciiTheme="minorEastAsia" w:hAnsiTheme="minorEastAsia" w:eastAsiaTheme="minorEastAsia" w:cstheme="minorEastAsia"/>
          <w:color w:val="auto"/>
          <w:sz w:val="24"/>
          <w:highlight w:val="none"/>
          <w:u w:val="none"/>
        </w:rPr>
        <w:t>二、供应商资格条件</w:t>
      </w:r>
      <w:bookmarkEnd w:id="16"/>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（一）基本资格条件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1、具有独立承担民事责任的能力；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2、具有良好的商业信誉和健全的财务会计制度；</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3、具有履行合同所必需的设备和专业技术能力；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4、有依法缴纳税收和社会保障资金的良好记录；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5、参加采购活动前三年内，在经营活动中没有重大违法记录；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6、法律、行政法规规定的其他条件。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（二）特定资格条件：无。</w:t>
      </w:r>
    </w:p>
    <w:p>
      <w:pPr>
        <w:spacing w:line="400" w:lineRule="exact"/>
        <w:ind w:firstLine="482"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val="en-US" w:eastAsia="zh-CN"/>
        </w:rPr>
        <w:t>备注</w:t>
      </w:r>
      <w:r>
        <w:rPr>
          <w:rFonts w:hint="eastAsia" w:asciiTheme="minorEastAsia" w:hAnsiTheme="minorEastAsia" w:eastAsiaTheme="minorEastAsia" w:cstheme="minorEastAsia"/>
          <w:color w:val="auto"/>
          <w:sz w:val="24"/>
          <w:szCs w:val="24"/>
          <w:highlight w:val="none"/>
          <w:u w:val="none"/>
          <w:lang w:val="en-US" w:eastAsia="zh-CN"/>
        </w:rPr>
        <w:t>：供应商若为分支机构的，需具备总部出具的授权书，同一总部仅能授权一家所属的分支机构进行磋商，且发出授权后总部不得与分支机构一同参与磋商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b/>
          <w:bCs/>
          <w:color w:val="auto"/>
          <w:sz w:val="24"/>
          <w:szCs w:val="24"/>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4"/>
          <w:szCs w:val="24"/>
          <w:highlight w:val="none"/>
          <w:u w:val="none"/>
          <w:lang w:val="en-US" w:eastAsia="zh-CN"/>
        </w:rPr>
        <w:t>。</w:t>
      </w:r>
    </w:p>
    <w:bookmarkEnd w:id="17"/>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9" w:name="_Toc76462320"/>
      <w:bookmarkEnd w:id="19"/>
      <w:bookmarkStart w:id="20" w:name="_Toc24313"/>
      <w:bookmarkEnd w:id="20"/>
      <w:bookmarkStart w:id="21" w:name="_Toc106030874"/>
      <w:bookmarkEnd w:id="21"/>
      <w:bookmarkStart w:id="22" w:name="_Toc39"/>
      <w:r>
        <w:rPr>
          <w:rFonts w:hint="eastAsia" w:asciiTheme="minorEastAsia" w:hAnsiTheme="minorEastAsia" w:eastAsiaTheme="minorEastAsia" w:cstheme="minorEastAsia"/>
          <w:color w:val="auto"/>
          <w:sz w:val="24"/>
          <w:highlight w:val="none"/>
          <w:u w:val="none"/>
        </w:rPr>
        <w:t>三、磋商有关说明</w:t>
      </w:r>
      <w:bookmarkEnd w:id="22"/>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一</w:t>
      </w:r>
      <w:r>
        <w:rPr>
          <w:rFonts w:hint="eastAsia" w:asciiTheme="minorEastAsia" w:hAnsiTheme="minorEastAsia" w:eastAsiaTheme="minorEastAsia" w:cstheme="minorEastAsia"/>
          <w:color w:val="auto"/>
          <w:sz w:val="24"/>
          <w:szCs w:val="24"/>
          <w:highlight w:val="none"/>
          <w:u w:val="none"/>
        </w:rPr>
        <w:t>）凡有意参加磋商的供应商，请在</w:t>
      </w:r>
      <w:r>
        <w:rPr>
          <w:rFonts w:hint="eastAsia" w:asciiTheme="minorEastAsia" w:hAnsiTheme="minorEastAsia" w:eastAsiaTheme="minorEastAsia" w:cstheme="minorEastAsia"/>
          <w:color w:val="auto"/>
          <w:sz w:val="24"/>
          <w:szCs w:val="24"/>
          <w:highlight w:val="none"/>
          <w:u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u w:val="none"/>
        </w:rPr>
        <w:t>上下载本项目竞争性磋商文件以及图纸、澄清等磋商前公布的所有项目资料，无论供应商下载或领取与否，均视为已知晓所有磋商实质性要求内容。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二</w:t>
      </w:r>
      <w:r>
        <w:rPr>
          <w:rFonts w:hint="eastAsia" w:asciiTheme="minorEastAsia" w:hAnsiTheme="minorEastAsia" w:eastAsiaTheme="minorEastAsia" w:cstheme="minorEastAsia"/>
          <w:color w:val="auto"/>
          <w:sz w:val="24"/>
          <w:szCs w:val="24"/>
          <w:highlight w:val="none"/>
          <w:u w:val="none"/>
        </w:rPr>
        <w:t>）竞争性磋商公告期限：自采购公告发布之日起三个工作日。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三</w:t>
      </w:r>
      <w:r>
        <w:rPr>
          <w:rFonts w:hint="eastAsia" w:asciiTheme="minorEastAsia" w:hAnsiTheme="minorEastAsia" w:eastAsiaTheme="minorEastAsia" w:cstheme="minorEastAsia"/>
          <w:color w:val="auto"/>
          <w:sz w:val="24"/>
          <w:szCs w:val="24"/>
          <w:highlight w:val="none"/>
          <w:u w:val="none"/>
        </w:rPr>
        <w:t xml:space="preserve">）竞争性磋商文件发售期限： </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1.竞争性磋商文件发售期：2025年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19</w:t>
      </w:r>
      <w:r>
        <w:rPr>
          <w:rFonts w:hint="eastAsia" w:asciiTheme="minorEastAsia" w:hAnsiTheme="minorEastAsia" w:eastAsiaTheme="minorEastAsia" w:cstheme="minorEastAsia"/>
          <w:color w:val="auto"/>
          <w:sz w:val="24"/>
          <w:szCs w:val="24"/>
          <w:highlight w:val="none"/>
          <w:u w:val="none"/>
        </w:rPr>
        <w:t>日至2025年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22</w:t>
      </w:r>
      <w:r>
        <w:rPr>
          <w:rFonts w:hint="eastAsia" w:asciiTheme="minorEastAsia" w:hAnsiTheme="minorEastAsia" w:eastAsiaTheme="minorEastAsia" w:cstheme="minorEastAsia"/>
          <w:color w:val="auto"/>
          <w:sz w:val="24"/>
          <w:szCs w:val="24"/>
          <w:highlight w:val="none"/>
          <w:u w:val="none"/>
        </w:rPr>
        <w:t>日（9:00—17:00工作时间）。</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2.报名方式：</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（1）潜在供应商将《采购文件发售登记表》（加盖供应商公章）及标书费转账凭证扫描后发送至vincent101@qq.com。</w:t>
      </w:r>
    </w:p>
    <w:p>
      <w:pPr>
        <w:widowControl/>
        <w:spacing w:line="400" w:lineRule="exact"/>
        <w:ind w:firstLine="480" w:firstLineChars="20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（2）收款账户：</w:t>
      </w:r>
      <w:r>
        <w:rPr>
          <w:rFonts w:hint="eastAsia" w:asciiTheme="minorEastAsia" w:hAnsiTheme="minorEastAsia" w:eastAsiaTheme="minorEastAsia" w:cstheme="minorEastAsia"/>
          <w:b/>
          <w:bCs/>
          <w:color w:val="auto"/>
          <w:sz w:val="24"/>
          <w:szCs w:val="24"/>
          <w:highlight w:val="none"/>
          <w:u w:val="single"/>
          <w:lang w:val="en-US" w:eastAsia="zh-CN"/>
        </w:rPr>
        <w:t>转账时请备注项目编号</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户 名：重庆宏仁招标代理有限公司</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开户行：招商银行重庆分行总部城支行</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账 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（3）在磋商文件发售期内购买了磋商文件的供应商，其报名才被接收。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（4）潜在供应商未报名不得参与磋商。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3.竞争性磋商文件售价：人民币300元/包（售后不退）。</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四</w:t>
      </w:r>
      <w:r>
        <w:rPr>
          <w:rFonts w:hint="eastAsia" w:asciiTheme="minorEastAsia" w:hAnsiTheme="minorEastAsia" w:eastAsiaTheme="minorEastAsia" w:cstheme="minorEastAsia"/>
          <w:color w:val="auto"/>
          <w:sz w:val="24"/>
          <w:szCs w:val="24"/>
          <w:highlight w:val="none"/>
          <w:u w:val="none"/>
        </w:rPr>
        <w:t>）递交响应文件地点：重庆市农业农村委员会（地址：重庆市渝北区黄山大道东段186号3楼会议室）</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五</w:t>
      </w:r>
      <w:r>
        <w:rPr>
          <w:rFonts w:hint="eastAsia" w:asciiTheme="minorEastAsia" w:hAnsiTheme="minorEastAsia" w:eastAsiaTheme="minorEastAsia" w:cstheme="minorEastAsia"/>
          <w:color w:val="auto"/>
          <w:sz w:val="24"/>
          <w:szCs w:val="24"/>
          <w:highlight w:val="none"/>
          <w:u w:val="none"/>
        </w:rPr>
        <w:t>）响应文件递交开始时间：2025年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w:t>
      </w:r>
      <w:r>
        <w:rPr>
          <w:rFonts w:hint="eastAsia" w:asciiTheme="minorEastAsia" w:hAnsiTheme="minorEastAsia" w:eastAsiaTheme="minorEastAsia" w:cstheme="minorEastAsia"/>
          <w:color w:val="auto"/>
          <w:sz w:val="24"/>
          <w:szCs w:val="24"/>
          <w:highlight w:val="none"/>
          <w:u w:val="none"/>
          <w:lang w:val="en-US" w:eastAsia="zh-CN"/>
        </w:rPr>
        <w:t>14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六</w:t>
      </w:r>
      <w:r>
        <w:rPr>
          <w:rFonts w:hint="eastAsia" w:asciiTheme="minorEastAsia" w:hAnsiTheme="minorEastAsia" w:eastAsiaTheme="minorEastAsia" w:cstheme="minorEastAsia"/>
          <w:color w:val="auto"/>
          <w:sz w:val="24"/>
          <w:szCs w:val="24"/>
          <w:highlight w:val="none"/>
          <w:u w:val="none"/>
        </w:rPr>
        <w:t>）响应文件递交截止时间：2025年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七</w:t>
      </w:r>
      <w:r>
        <w:rPr>
          <w:rFonts w:hint="eastAsia" w:asciiTheme="minorEastAsia" w:hAnsiTheme="minorEastAsia" w:eastAsiaTheme="minorEastAsia" w:cstheme="minorEastAsia"/>
          <w:color w:val="auto"/>
          <w:sz w:val="24"/>
          <w:szCs w:val="24"/>
          <w:highlight w:val="none"/>
          <w:u w:val="none"/>
        </w:rPr>
        <w:t>）磋商开始时间：2025年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23" w:name="_Toc23960"/>
      <w:bookmarkEnd w:id="23"/>
      <w:bookmarkStart w:id="24" w:name="_Toc12663"/>
      <w:bookmarkEnd w:id="24"/>
      <w:bookmarkStart w:id="25" w:name="_Toc75793500"/>
      <w:bookmarkEnd w:id="25"/>
      <w:bookmarkStart w:id="26" w:name="_Toc15717"/>
      <w:bookmarkEnd w:id="26"/>
      <w:bookmarkStart w:id="27" w:name="_Toc30895"/>
      <w:bookmarkEnd w:id="27"/>
      <w:bookmarkStart w:id="28" w:name="_Toc12090"/>
      <w:bookmarkEnd w:id="28"/>
      <w:bookmarkStart w:id="29" w:name="_Toc18100"/>
      <w:bookmarkEnd w:id="29"/>
      <w:bookmarkStart w:id="30" w:name="_Toc11844"/>
      <w:bookmarkEnd w:id="30"/>
      <w:bookmarkStart w:id="31" w:name="_Toc106030376"/>
      <w:bookmarkEnd w:id="31"/>
      <w:bookmarkStart w:id="32" w:name="_Toc524"/>
      <w:bookmarkEnd w:id="32"/>
      <w:bookmarkStart w:id="33" w:name="_Toc25854"/>
      <w:bookmarkEnd w:id="33"/>
      <w:bookmarkStart w:id="34" w:name="_Toc7836"/>
      <w:bookmarkEnd w:id="34"/>
      <w:bookmarkStart w:id="35" w:name="_Toc9290"/>
      <w:bookmarkEnd w:id="35"/>
      <w:bookmarkStart w:id="36" w:name="_Toc22111"/>
      <w:bookmarkEnd w:id="36"/>
      <w:bookmarkStart w:id="37" w:name="_Toc3476"/>
      <w:bookmarkEnd w:id="37"/>
      <w:bookmarkStart w:id="38" w:name="_Toc31178"/>
      <w:r>
        <w:rPr>
          <w:rFonts w:hint="eastAsia" w:asciiTheme="minorEastAsia" w:hAnsiTheme="minorEastAsia" w:eastAsiaTheme="minorEastAsia" w:cstheme="minorEastAsia"/>
          <w:color w:val="auto"/>
          <w:sz w:val="24"/>
          <w:highlight w:val="none"/>
          <w:u w:val="none"/>
        </w:rPr>
        <w:t>四、保证金</w:t>
      </w:r>
      <w:bookmarkEnd w:id="38"/>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（一）磋商保证金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1.转账方式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1.1供应商应足额交纳磋商保证金（保证金金额详见本篇，一、竞争性磋商内容），并汇至以下账户，保证金的到账截止时间为“磋商开始时间”前一</w:t>
      </w:r>
      <w:r>
        <w:rPr>
          <w:rFonts w:hint="eastAsia" w:asciiTheme="minorEastAsia" w:hAnsiTheme="minorEastAsia" w:eastAsiaTheme="minorEastAsia" w:cstheme="minorEastAsia"/>
          <w:color w:val="auto"/>
          <w:sz w:val="24"/>
          <w:szCs w:val="24"/>
          <w:highlight w:val="none"/>
          <w:u w:val="none"/>
          <w:lang w:val="en-US" w:eastAsia="zh-CN"/>
        </w:rPr>
        <w:t>工作</w:t>
      </w:r>
      <w:r>
        <w:rPr>
          <w:rFonts w:hint="eastAsia" w:asciiTheme="minorEastAsia" w:hAnsiTheme="minorEastAsia" w:eastAsiaTheme="minorEastAsia" w:cstheme="minorEastAsia"/>
          <w:color w:val="auto"/>
          <w:sz w:val="24"/>
          <w:szCs w:val="24"/>
          <w:highlight w:val="none"/>
          <w:u w:val="none"/>
        </w:rPr>
        <w:t>日北京时间17时00分。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磋商保证金缴纳账户：</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9" w:name="_Toc21681"/>
      <w:r>
        <w:rPr>
          <w:rFonts w:hint="eastAsia" w:asciiTheme="minorEastAsia" w:hAnsiTheme="minorEastAsia" w:eastAsiaTheme="minorEastAsia" w:cstheme="minorEastAsia"/>
          <w:color w:val="auto"/>
          <w:sz w:val="24"/>
          <w:highlight w:val="none"/>
        </w:rPr>
        <w:t>五、</w:t>
      </w:r>
      <w:bookmarkEnd w:id="18"/>
      <w:r>
        <w:rPr>
          <w:rFonts w:hint="eastAsia" w:asciiTheme="minorEastAsia" w:hAnsiTheme="minorEastAsia" w:eastAsiaTheme="minorEastAsia" w:cstheme="minorEastAsia"/>
          <w:color w:val="auto"/>
          <w:sz w:val="24"/>
          <w:highlight w:val="none"/>
        </w:rPr>
        <w:t>其它有关规定</w:t>
      </w:r>
      <w:bookmarkEnd w:id="39"/>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40"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40"/>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1" w:name="_Toc32225"/>
      <w:bookmarkEnd w:id="41"/>
      <w:bookmarkStart w:id="42" w:name="_Toc106030877"/>
      <w:bookmarkEnd w:id="42"/>
      <w:bookmarkStart w:id="43" w:name="_Toc76462323"/>
      <w:bookmarkEnd w:id="43"/>
      <w:bookmarkStart w:id="44" w:name="_Toc4030"/>
      <w:r>
        <w:rPr>
          <w:rFonts w:hint="eastAsia" w:asciiTheme="minorEastAsia" w:hAnsiTheme="minorEastAsia" w:eastAsiaTheme="minorEastAsia" w:cstheme="minorEastAsia"/>
          <w:color w:val="auto"/>
          <w:sz w:val="24"/>
          <w:highlight w:val="none"/>
        </w:rPr>
        <w:t>六、联系方式</w:t>
      </w:r>
      <w:bookmarkEnd w:id="44"/>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重庆市农业农村委员会</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张老师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w:t>
      </w:r>
      <w:r>
        <w:rPr>
          <w:rFonts w:hint="eastAsia" w:asciiTheme="minorEastAsia" w:hAnsiTheme="minorEastAsia" w:eastAsiaTheme="minorEastAsia" w:cstheme="minorEastAsia"/>
          <w:color w:val="auto"/>
          <w:sz w:val="24"/>
          <w:szCs w:val="24"/>
          <w:highlight w:val="none"/>
        </w:rPr>
        <w:t>89133064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址：重庆市渝北区黄山大道东段186号</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陈</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w:t>
      </w:r>
      <w:bookmarkStart w:id="45" w:name="OLE_LINK31"/>
      <w:r>
        <w:rPr>
          <w:rFonts w:hint="eastAsia" w:asciiTheme="minorEastAsia" w:hAnsiTheme="minorEastAsia" w:eastAsiaTheme="minorEastAsia" w:cstheme="minorEastAsia"/>
          <w:color w:val="auto"/>
          <w:sz w:val="24"/>
          <w:szCs w:val="24"/>
          <w:highlight w:val="none"/>
        </w:rPr>
        <w:t>63993330</w:t>
      </w:r>
      <w:bookmarkEnd w:id="4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pPr>
        <w:jc w:val="left"/>
        <w:rPr>
          <w:rFonts w:hint="eastAsia" w:asciiTheme="minorEastAsia" w:hAnsiTheme="minorEastAsia" w:eastAsiaTheme="minorEastAsia" w:cstheme="minorEastAsia"/>
          <w:b/>
          <w:bCs/>
          <w:color w:val="auto"/>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HRZ25C164</w:t>
            </w:r>
          </w:p>
          <w:p>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智库综合服务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 xml:space="preserve">标书金额：300元/分包  发售人：重庆宏仁招标代理有限公司  </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日期：</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说明：</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1.报名和发售期：2025年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19</w:t>
      </w:r>
      <w:r>
        <w:rPr>
          <w:rFonts w:hint="eastAsia" w:asciiTheme="minorEastAsia" w:hAnsiTheme="minorEastAsia" w:eastAsiaTheme="minorEastAsia" w:cstheme="minorEastAsia"/>
          <w:color w:val="auto"/>
          <w:sz w:val="24"/>
          <w:highlight w:val="none"/>
          <w:u w:val="none"/>
        </w:rPr>
        <w:t>日-2025年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22</w:t>
      </w:r>
      <w:r>
        <w:rPr>
          <w:rFonts w:hint="eastAsia" w:asciiTheme="minorEastAsia" w:hAnsiTheme="minorEastAsia" w:eastAsiaTheme="minorEastAsia" w:cstheme="minorEastAsia"/>
          <w:color w:val="auto"/>
          <w:sz w:val="24"/>
          <w:highlight w:val="none"/>
          <w:u w:val="none"/>
        </w:rPr>
        <w:t>日17:00（工作时间）</w:t>
      </w:r>
    </w:p>
    <w:p>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联系人：</w:t>
      </w:r>
      <w:r>
        <w:rPr>
          <w:rFonts w:hint="eastAsia" w:asciiTheme="minorEastAsia" w:hAnsiTheme="minorEastAsia" w:eastAsiaTheme="minorEastAsia" w:cstheme="minorEastAsia"/>
          <w:color w:val="auto"/>
          <w:sz w:val="24"/>
          <w:highlight w:val="none"/>
          <w:u w:val="none"/>
          <w:lang w:val="en-US" w:eastAsia="zh-CN"/>
        </w:rPr>
        <w:t>陈</w:t>
      </w:r>
      <w:r>
        <w:rPr>
          <w:rFonts w:hint="eastAsia" w:asciiTheme="minorEastAsia" w:hAnsiTheme="minorEastAsia" w:eastAsiaTheme="minorEastAsia" w:cstheme="minorEastAsia"/>
          <w:color w:val="auto"/>
          <w:sz w:val="24"/>
          <w:highlight w:val="none"/>
          <w:u w:val="none"/>
        </w:rPr>
        <w:t>老师  电话：023-63993330 邮箱：vincent101@qq.com</w:t>
      </w: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3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rPr>
        <w:t>2.若需开发票请将开票信息发送至邮箱852786624@qq.com</w:t>
      </w:r>
    </w:p>
    <w:p>
      <w:pPr>
        <w:rPr>
          <w:rFonts w:hint="eastAsia" w:asciiTheme="minorEastAsia" w:hAnsiTheme="minorEastAsia" w:eastAsiaTheme="minorEastAsia" w:cstheme="minorEastAsia"/>
          <w:b/>
          <w:color w:val="auto"/>
          <w:sz w:val="24"/>
          <w:szCs w:val="24"/>
          <w:highlight w:val="none"/>
        </w:rPr>
      </w:pPr>
    </w:p>
    <w:p>
      <w:pPr>
        <w:pStyle w:val="4"/>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pStyle w:val="4"/>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6" w:name="_Toc76462324"/>
      <w:bookmarkEnd w:id="46"/>
      <w:bookmarkStart w:id="47" w:name="_Toc106030878"/>
      <w:bookmarkEnd w:id="47"/>
      <w:bookmarkStart w:id="48" w:name="_Toc3523"/>
      <w:bookmarkEnd w:id="48"/>
      <w:bookmarkStart w:id="49" w:name="_Toc20924"/>
      <w:r>
        <w:rPr>
          <w:rFonts w:hint="eastAsia" w:asciiTheme="minorEastAsia" w:hAnsiTheme="minorEastAsia" w:eastAsiaTheme="minorEastAsia" w:cstheme="minorEastAsia"/>
          <w:bCs/>
          <w:color w:val="auto"/>
          <w:sz w:val="36"/>
          <w:szCs w:val="30"/>
          <w:highlight w:val="none"/>
        </w:rPr>
        <w:t>第二篇  项目服务需求</w:t>
      </w:r>
      <w:bookmarkEnd w:id="49"/>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bookmarkStart w:id="50" w:name="_Toc76462325"/>
      <w:bookmarkEnd w:id="50"/>
      <w:bookmarkStart w:id="51" w:name="_Toc106030879"/>
      <w:bookmarkEnd w:id="51"/>
      <w:bookmarkStart w:id="52" w:name="_Toc14460"/>
      <w:bookmarkEnd w:id="52"/>
      <w:bookmarkStart w:id="53" w:name="_Toc12789058"/>
      <w:r>
        <w:rPr>
          <w:rFonts w:hint="eastAsia" w:asciiTheme="minorEastAsia" w:hAnsiTheme="minorEastAsia" w:eastAsiaTheme="minorEastAsia" w:cstheme="minorEastAsia"/>
          <w:b/>
          <w:bCs/>
          <w:color w:val="auto"/>
          <w:sz w:val="24"/>
          <w:szCs w:val="24"/>
          <w:highlight w:val="none"/>
          <w:lang w:val="en-US" w:eastAsia="zh-CN"/>
        </w:rPr>
        <w:t>一、项目服务内容</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两山论”的重庆实践、巴渝和美乡村建设、巩固拓展脱贫攻坚成果同乡村振兴有效衔接、城乡融合发展经验做法、高标准农田建设整治整改、食品及农产品加工业等主题，全年提供智库分析报告服务4次。就指定主题在全网的传播效应以及数据情况，进行统计分析。</w:t>
      </w:r>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二、项目服务要求</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应按照采购方要求，围绕上述内容中的四个主题，采集境内新闻媒体、电子报纸，以及微信、微博、客户端、小红书、知乎、抖音、快手等平台数据，分析相关主题在全国舆论场的传播效果，重点分析中央媒体、主流媒体、政务新媒体、网络大V的传播热度、传播焦点和情感倾向，并选取重庆市围绕主题的重大宣传案例进行分析，总结经验做法的舆论认同度、识别叙事亮点，为经验推广与政策优化提供智能支撑。</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53"/>
    <w:p>
      <w:pPr>
        <w:pStyle w:val="2"/>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4" w:name="_Toc21242"/>
      <w:bookmarkEnd w:id="54"/>
      <w:bookmarkStart w:id="55" w:name="_Toc76462327"/>
      <w:bookmarkEnd w:id="55"/>
      <w:bookmarkStart w:id="56" w:name="_Toc106030882"/>
      <w:bookmarkEnd w:id="56"/>
      <w:bookmarkStart w:id="57" w:name="_Toc31979"/>
      <w:r>
        <w:rPr>
          <w:rFonts w:hint="eastAsia" w:asciiTheme="minorEastAsia" w:hAnsiTheme="minorEastAsia" w:eastAsiaTheme="minorEastAsia" w:cstheme="minorEastAsia"/>
          <w:bCs/>
          <w:color w:val="auto"/>
          <w:sz w:val="36"/>
          <w:szCs w:val="30"/>
          <w:highlight w:val="none"/>
        </w:rPr>
        <w:t>第三篇  项目商务需求</w:t>
      </w:r>
      <w:bookmarkEnd w:id="57"/>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8" w:name="_Toc28019"/>
      <w:bookmarkEnd w:id="58"/>
      <w:bookmarkStart w:id="59" w:name="_Toc106030883"/>
      <w:bookmarkEnd w:id="59"/>
      <w:bookmarkStart w:id="60" w:name="_Toc76462328"/>
      <w:bookmarkEnd w:id="60"/>
      <w:bookmarkStart w:id="61" w:name="_Toc344475120"/>
      <w:bookmarkEnd w:id="61"/>
      <w:bookmarkStart w:id="62" w:name="_Toc22616"/>
      <w:r>
        <w:rPr>
          <w:rFonts w:hint="eastAsia" w:asciiTheme="minorEastAsia" w:hAnsiTheme="minorEastAsia" w:eastAsiaTheme="minorEastAsia" w:cstheme="minorEastAsia"/>
          <w:color w:val="auto"/>
          <w:sz w:val="24"/>
          <w:highlight w:val="none"/>
        </w:rPr>
        <w:t>一、实施时间、地点及验收方式</w:t>
      </w:r>
      <w:bookmarkEnd w:id="62"/>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合同签订之日起一年内完成，至双方权利义务履行完毕后终止。</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（三）验收方式：采购人组织专家按照磋商文件和成交供应商的响应文件内容进行验收。</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17708"/>
      <w:bookmarkEnd w:id="63"/>
      <w:bookmarkStart w:id="64" w:name="_Toc106030884"/>
      <w:bookmarkEnd w:id="64"/>
      <w:bookmarkStart w:id="65" w:name="_Toc76462329"/>
      <w:bookmarkEnd w:id="65"/>
      <w:bookmarkStart w:id="66" w:name="_Toc344475121"/>
      <w:bookmarkEnd w:id="66"/>
      <w:bookmarkStart w:id="67" w:name="_Toc20212"/>
      <w:r>
        <w:rPr>
          <w:rFonts w:hint="eastAsia" w:asciiTheme="minorEastAsia" w:hAnsiTheme="minorEastAsia" w:eastAsiaTheme="minorEastAsia" w:cstheme="minorEastAsia"/>
          <w:color w:val="auto"/>
          <w:sz w:val="24"/>
          <w:highlight w:val="none"/>
        </w:rPr>
        <w:t>二、报价要求</w:t>
      </w:r>
      <w:bookmarkEnd w:id="67"/>
    </w:p>
    <w:p>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磋商报价包括完成本项目所需的全部</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rPr>
        <w:t>，报价包含但不限于所需的服务费、人工费及提供服务所需的宣传费、材料费、税费及其它与本项目相关的一切费用。因成交供应商自身原因造成漏报、少报皆由其自行承担责任，采购人不再补偿。</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8" w:name="_Toc106030885"/>
      <w:bookmarkEnd w:id="68"/>
      <w:bookmarkStart w:id="69" w:name="_Toc11329"/>
      <w:bookmarkEnd w:id="69"/>
      <w:bookmarkStart w:id="70" w:name="_Toc344475122"/>
      <w:bookmarkEnd w:id="70"/>
      <w:bookmarkStart w:id="71" w:name="_Toc76462330"/>
      <w:bookmarkEnd w:id="71"/>
      <w:bookmarkStart w:id="72" w:name="_Toc8616"/>
      <w:r>
        <w:rPr>
          <w:rFonts w:hint="eastAsia" w:asciiTheme="minorEastAsia" w:hAnsiTheme="minorEastAsia" w:eastAsiaTheme="minorEastAsia" w:cstheme="minorEastAsia"/>
          <w:color w:val="auto"/>
          <w:sz w:val="24"/>
          <w:highlight w:val="none"/>
        </w:rPr>
        <w:t>三、付款方式</w:t>
      </w:r>
      <w:bookmarkEnd w:id="72"/>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73" w:name="OLE_LINK30"/>
      <w:bookmarkStart w:id="74" w:name="OLE_LINK24"/>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向成交供应商支付合同金额的</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lang w:val="en-US" w:eastAsia="zh-CN"/>
        </w:rPr>
        <w:t>当年12月15日前，采购人</w:t>
      </w:r>
      <w:r>
        <w:rPr>
          <w:rFonts w:hint="eastAsia" w:asciiTheme="minorEastAsia" w:hAnsiTheme="minorEastAsia" w:eastAsiaTheme="minorEastAsia" w:cstheme="minorEastAsia"/>
          <w:color w:val="auto"/>
          <w:sz w:val="24"/>
          <w:szCs w:val="24"/>
          <w:highlight w:val="none"/>
        </w:rPr>
        <w:t>向成交供应商</w:t>
      </w:r>
      <w:r>
        <w:rPr>
          <w:rFonts w:hint="eastAsia" w:asciiTheme="minorEastAsia" w:hAnsiTheme="minorEastAsia" w:eastAsiaTheme="minorEastAsia" w:cstheme="minorEastAsia"/>
          <w:color w:val="auto"/>
          <w:sz w:val="24"/>
          <w:szCs w:val="24"/>
          <w:highlight w:val="none"/>
          <w:lang w:val="en-US" w:eastAsia="zh-CN"/>
        </w:rPr>
        <w:t>支付合同金额的剩余30%。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向采购人开具发票，采购人以转账方式向成交供应商支付。</w:t>
      </w:r>
      <w:bookmarkEnd w:id="73"/>
      <w:bookmarkEnd w:id="74"/>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5" w:name="_Toc21090"/>
      <w:bookmarkStart w:id="76" w:name="_Toc344475124"/>
      <w:bookmarkStart w:id="77" w:name="_Toc106030886"/>
      <w:bookmarkStart w:id="78" w:name="_Toc16689"/>
      <w:bookmarkStart w:id="79" w:name="_Toc76462331"/>
      <w:r>
        <w:rPr>
          <w:rFonts w:hint="eastAsia" w:asciiTheme="minorEastAsia" w:hAnsiTheme="minorEastAsia" w:eastAsiaTheme="minorEastAsia" w:cstheme="minorEastAsia"/>
          <w:color w:val="auto"/>
          <w:sz w:val="24"/>
          <w:highlight w:val="none"/>
        </w:rPr>
        <w:t>四、服务质量保障</w:t>
      </w:r>
      <w:bookmarkEnd w:id="75"/>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成交供应商须严格按照</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服务要求及自身提供的方案实施本项目，成交供应商在实施过程中接受采购人的监督和意见，根据采购人意见进行项目实施的调整。未经采购人允许，不得改变实施方案。</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0" w:name="_Toc8289"/>
      <w:r>
        <w:rPr>
          <w:rFonts w:hint="eastAsia" w:asciiTheme="minorEastAsia" w:hAnsiTheme="minorEastAsia" w:eastAsiaTheme="minorEastAsia" w:cstheme="minorEastAsia"/>
          <w:color w:val="auto"/>
          <w:sz w:val="24"/>
          <w:highlight w:val="none"/>
        </w:rPr>
        <w:t>五、知识产权</w:t>
      </w:r>
      <w:bookmarkEnd w:id="8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）涉及软件开发等服务类项目知识产权的，知识产权归采购人所有。</w:t>
      </w:r>
    </w:p>
    <w:bookmarkEnd w:id="76"/>
    <w:bookmarkEnd w:id="77"/>
    <w:bookmarkEnd w:id="78"/>
    <w:bookmarkEnd w:id="79"/>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1" w:name="_Toc17873"/>
      <w:r>
        <w:rPr>
          <w:rFonts w:hint="eastAsia" w:asciiTheme="minorEastAsia" w:hAnsiTheme="minorEastAsia" w:eastAsiaTheme="minorEastAsia" w:cstheme="minorEastAsia"/>
          <w:color w:val="auto"/>
          <w:sz w:val="24"/>
          <w:highlight w:val="none"/>
        </w:rPr>
        <w:t>六、其他</w:t>
      </w:r>
      <w:bookmarkEnd w:id="81"/>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pPr>
        <w:pStyle w:val="2"/>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2" w:name="_Toc9477"/>
      <w:bookmarkEnd w:id="82"/>
      <w:bookmarkStart w:id="83" w:name="_Toc106030887"/>
      <w:bookmarkEnd w:id="83"/>
      <w:bookmarkStart w:id="84" w:name="_Toc76462332"/>
      <w:bookmarkEnd w:id="84"/>
      <w:bookmarkStart w:id="85" w:name="_Toc22375"/>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5"/>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6" w:name="_Toc19981"/>
      <w:bookmarkEnd w:id="86"/>
      <w:bookmarkStart w:id="87" w:name="_Toc106030888"/>
      <w:bookmarkEnd w:id="87"/>
      <w:bookmarkStart w:id="88" w:name="_Toc76462333"/>
      <w:bookmarkEnd w:id="88"/>
      <w:bookmarkStart w:id="89" w:name="_Toc19557"/>
      <w:r>
        <w:rPr>
          <w:rFonts w:hint="eastAsia" w:asciiTheme="minorEastAsia" w:hAnsiTheme="minorEastAsia" w:eastAsiaTheme="minorEastAsia" w:cstheme="minorEastAsia"/>
          <w:color w:val="auto"/>
          <w:sz w:val="24"/>
          <w:highlight w:val="none"/>
        </w:rPr>
        <w:t>一、磋商程序及方法</w:t>
      </w:r>
      <w:bookmarkEnd w:id="89"/>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0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5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5200" w:type="dxa"/>
            <w:vAlign w:val="center"/>
          </w:tcPr>
          <w:p>
            <w:pPr>
              <w:numPr>
                <w:ilvl w:val="0"/>
                <w:numId w:val="0"/>
              </w:numPr>
              <w:rPr>
                <w:ins w:id="1" w:author="作者" w:date="2025-08-06T12:31:06Z"/>
                <w:rFonts w:hint="eastAsia" w:asciiTheme="minorEastAsia" w:hAnsiTheme="minorEastAsia" w:eastAsiaTheme="minorEastAsia" w:cstheme="minorEastAsia"/>
                <w:color w:val="auto"/>
                <w:sz w:val="21"/>
                <w:szCs w:val="21"/>
                <w:highlight w:val="none"/>
              </w:rPr>
              <w:pPrChange w:id="0" w:author="作者" w:date="2025-08-06T12:35:28Z">
                <w:pPr/>
              </w:pPrChange>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numPr>
                <w:ilvl w:val="0"/>
                <w:numId w:val="0"/>
              </w:numPr>
              <w:rPr>
                <w:rFonts w:hint="eastAsia" w:asciiTheme="minorEastAsia" w:hAnsiTheme="minorEastAsia" w:eastAsiaTheme="minorEastAsia" w:cstheme="minorEastAsia"/>
                <w:color w:val="auto"/>
                <w:sz w:val="21"/>
                <w:szCs w:val="21"/>
                <w:highlight w:val="none"/>
              </w:rPr>
              <w:pPrChange w:id="2" w:author="作者" w:date="2025-08-06T12:35:28Z">
                <w:pPr/>
              </w:pPrChange>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供应商若</w:t>
            </w:r>
            <w:r>
              <w:rPr>
                <w:rFonts w:hint="eastAsia" w:asciiTheme="minorEastAsia" w:hAnsiTheme="minorEastAsia" w:eastAsiaTheme="minorEastAsia" w:cstheme="minorEastAsia"/>
                <w:color w:val="auto"/>
                <w:sz w:val="21"/>
                <w:szCs w:val="21"/>
                <w:highlight w:val="none"/>
                <w:u w:val="single"/>
              </w:rPr>
              <w:t>为</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授权的分支机构，除提供自身的营业执照复印件外，还须同时提供其</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的营业执照复印件</w:t>
            </w:r>
            <w:r>
              <w:rPr>
                <w:rFonts w:hint="eastAsia" w:asciiTheme="minorEastAsia" w:hAnsiTheme="minorEastAsia" w:eastAsiaTheme="minorEastAsia" w:cstheme="minorEastAsia"/>
                <w:color w:val="auto"/>
                <w:sz w:val="21"/>
                <w:szCs w:val="21"/>
                <w:highlight w:val="none"/>
              </w:rPr>
              <w:t>）</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供应商法定代表人身份证明和法定代表人授权代表委托书。</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供应商</w:t>
            </w:r>
            <w:r>
              <w:rPr>
                <w:rFonts w:hint="eastAsia" w:asciiTheme="minorEastAsia" w:hAnsiTheme="minorEastAsia" w:eastAsiaTheme="minorEastAsia" w:cstheme="minorEastAsia"/>
                <w:color w:val="auto"/>
                <w:sz w:val="21"/>
                <w:szCs w:val="21"/>
                <w:highlight w:val="none"/>
                <w:u w:val="single"/>
              </w:rPr>
              <w:t>若为分支机构的，可由分支机构负责人进行授权</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Change w:id="3" w:author="作者" w:date="2025-08-06T12:35:28Z">
                <w:pPr/>
              </w:pPrChange>
            </w:pPr>
            <w:r>
              <w:rPr>
                <w:rFonts w:hint="eastAsia" w:asciiTheme="minorEastAsia" w:hAnsiTheme="minorEastAsia" w:eastAsiaTheme="minorEastAsia" w:cstheme="minorEastAsia"/>
                <w:color w:val="auto"/>
                <w:sz w:val="21"/>
                <w:szCs w:val="21"/>
                <w:highlight w:val="none"/>
                <w:lang w:val="en-US" w:eastAsia="zh-CN"/>
              </w:rPr>
              <w:t>3.供应商若为分支机构的，需具备总部出具的授权书，同一总部仅能授权一家所属的分支机构进行磋商，且发出授权后总部不得与分支机构一同参与磋商（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color w:val="auto"/>
                <w:sz w:val="21"/>
                <w:szCs w:val="21"/>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5200"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5200"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09" w:type="dxa"/>
            <w:gridSpan w:val="2"/>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对竞争性磋商文件第二篇和第三篇的全部内容及要求作出非负偏离响应。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0" w:name="_Toc24604"/>
      <w:bookmarkEnd w:id="90"/>
      <w:bookmarkStart w:id="91" w:name="_Toc76462334"/>
      <w:bookmarkEnd w:id="91"/>
      <w:bookmarkStart w:id="92" w:name="_Toc106030889"/>
      <w:bookmarkEnd w:id="92"/>
      <w:bookmarkStart w:id="93" w:name="_Toc8665"/>
      <w:bookmarkStart w:id="94" w:name="_Toc342913394"/>
      <w:bookmarkStart w:id="95" w:name="_Toc102227320"/>
      <w:r>
        <w:rPr>
          <w:rFonts w:hint="eastAsia" w:asciiTheme="minorEastAsia" w:hAnsiTheme="minorEastAsia" w:eastAsiaTheme="minorEastAsia" w:cstheme="minorEastAsia"/>
          <w:color w:val="auto"/>
          <w:sz w:val="24"/>
          <w:highlight w:val="none"/>
        </w:rPr>
        <w:t>二、评审标准</w:t>
      </w:r>
      <w:bookmarkEnd w:id="93"/>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8"/>
        <w:gridCol w:w="1127"/>
        <w:gridCol w:w="3815"/>
        <w:gridCol w:w="2672"/>
        <w:tblGridChange w:id="4">
          <w:tblGrid>
            <w:gridCol w:w="756"/>
            <w:gridCol w:w="1128"/>
            <w:gridCol w:w="1127"/>
            <w:gridCol w:w="3815"/>
            <w:gridCol w:w="26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6" w:type="dxa"/>
            <w:noWrap w:val="0"/>
            <w:vAlign w:val="center"/>
          </w:tcPr>
          <w:p>
            <w:pPr>
              <w:spacing w:line="240" w:lineRule="atLeast"/>
              <w:ind w:firstLine="28"/>
              <w:jc w:val="center"/>
              <w:rPr>
                <w:rFonts w:hint="eastAsia" w:ascii="宋体" w:hAnsi="宋体" w:eastAsia="宋体" w:cs="宋体"/>
                <w:b/>
                <w:color w:val="auto"/>
                <w:sz w:val="21"/>
                <w:szCs w:val="21"/>
                <w:highlight w:val="none"/>
              </w:rPr>
            </w:pPr>
            <w:bookmarkStart w:id="96" w:name="_Toc76462335"/>
            <w:bookmarkEnd w:id="96"/>
            <w:bookmarkStart w:id="97" w:name="_Toc106030890"/>
            <w:bookmarkEnd w:id="97"/>
            <w:bookmarkStart w:id="98" w:name="_Toc8811"/>
            <w:bookmarkEnd w:id="98"/>
            <w:bookmarkStart w:id="99" w:name="_Toc12067"/>
            <w:r>
              <w:rPr>
                <w:rFonts w:hint="eastAsia" w:ascii="宋体" w:hAnsi="宋体" w:eastAsia="宋体" w:cs="宋体"/>
                <w:b/>
                <w:color w:val="auto"/>
                <w:sz w:val="21"/>
                <w:szCs w:val="21"/>
                <w:highlight w:val="none"/>
              </w:rPr>
              <w:t>序号</w:t>
            </w:r>
          </w:p>
        </w:tc>
        <w:tc>
          <w:tcPr>
            <w:tcW w:w="1128"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127"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815"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672" w:type="dxa"/>
            <w:noWrap w:val="0"/>
            <w:vAlign w:val="center"/>
          </w:tcPr>
          <w:p>
            <w:pPr>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56"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8"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7" w:type="dxa"/>
            <w:tcBorders>
              <w:bottom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815" w:type="dxa"/>
            <w:tcBorders>
              <w:bottom w:val="single" w:color="auto" w:sz="4" w:space="0"/>
            </w:tcBorders>
            <w:noWrap w:val="0"/>
            <w:vAlign w:val="center"/>
          </w:tcPr>
          <w:p>
            <w:pPr>
              <w:spacing w:line="240" w:lineRule="atLeas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满足资格性、符合性要求且最后报价最低的供应商的价格为磋商基准价，其价格分为满分。其他供应商的价格分统一按照下列公式计算：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磋商报价得分=（磋商基准价/最后磋商报价）×价格权值×100</w:t>
            </w:r>
          </w:p>
        </w:tc>
        <w:tc>
          <w:tcPr>
            <w:tcW w:w="2672" w:type="dxa"/>
            <w:tcBorders>
              <w:bottom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56"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8"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执行</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240" w:lineRule="atLeast"/>
              <w:jc w:val="center"/>
              <w:rPr>
                <w:rFonts w:hint="eastAsia" w:ascii="宋体" w:hAnsi="宋体" w:eastAsia="宋体" w:cs="宋体"/>
                <w:color w:val="auto"/>
                <w:sz w:val="21"/>
                <w:szCs w:val="21"/>
                <w:highlight w:val="none"/>
              </w:rPr>
            </w:pPr>
          </w:p>
        </w:tc>
        <w:tc>
          <w:tcPr>
            <w:tcW w:w="3815" w:type="dxa"/>
            <w:tcBorders>
              <w:top w:val="single" w:color="auto" w:sz="4" w:space="0"/>
            </w:tcBorders>
            <w:noWrap w:val="0"/>
            <w:vAlign w:val="center"/>
          </w:tcPr>
          <w:p>
            <w:pPr>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供应商针对本项目提供完整的执行方案。包含服务内容、平台介绍、服务流程、内容架构、案例展示等。</w:t>
            </w:r>
          </w:p>
          <w:p>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提供的相关内容进行综合评审，评分标准为：优秀得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分，差得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p>
        </w:tc>
        <w:tc>
          <w:tcPr>
            <w:tcW w:w="2672" w:type="dxa"/>
            <w:vMerge w:val="restart"/>
            <w:tcBorders>
              <w:top w:val="single" w:color="auto" w:sz="4" w:space="0"/>
            </w:tcBorders>
            <w:noWrap w:val="0"/>
            <w:vAlign w:val="center"/>
          </w:tcPr>
          <w:p>
            <w:pPr>
              <w:rPr>
                <w:rFonts w:hint="eastAsia" w:ascii="宋体" w:hAnsi="宋体" w:eastAsia="宋体" w:cs="宋体"/>
                <w:color w:val="auto"/>
                <w:sz w:val="21"/>
                <w:szCs w:val="21"/>
                <w:highlight w:val="none"/>
              </w:rPr>
            </w:pPr>
            <w:bookmarkStart w:id="100" w:name="OLE_LINK19"/>
            <w:r>
              <w:rPr>
                <w:rFonts w:hint="eastAsia" w:ascii="宋体" w:hAnsi="宋体" w:eastAsia="宋体" w:cs="宋体"/>
                <w:color w:val="auto"/>
                <w:sz w:val="21"/>
                <w:szCs w:val="21"/>
                <w:highlight w:val="none"/>
              </w:rPr>
              <w:t>1.提供服务方案（格式自定）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2.优秀的标准：方案详实，符合项目实际、实用性强。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良好的标准：方案较详实，较符合项目实际、实用性较强。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一般的标准：方案详实度一般，基本符合项目实际、实用性一般。</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差的标准：方案描述不符合项目实际，无实用性。</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default" w:ascii="宋体" w:hAnsi="宋体" w:eastAsia="宋体" w:cs="宋体"/>
                <w:color w:val="auto"/>
                <w:sz w:val="21"/>
                <w:szCs w:val="21"/>
                <w:highlight w:val="none"/>
                <w:lang w:val="en-US" w:eastAsia="zh-CN"/>
              </w:rPr>
            </w:pPr>
            <w:bookmarkStart w:id="101" w:name="OLE_LINK49"/>
            <w:r>
              <w:rPr>
                <w:rFonts w:hint="eastAsia" w:ascii="宋体" w:hAnsi="宋体" w:cs="宋体"/>
                <w:color w:val="auto"/>
                <w:sz w:val="21"/>
                <w:szCs w:val="21"/>
                <w:highlight w:val="none"/>
                <w:lang w:val="en-US" w:eastAsia="zh-CN"/>
              </w:rPr>
              <w:t>人员配置</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bookmarkEnd w:id="101"/>
          </w:p>
        </w:tc>
        <w:tc>
          <w:tcPr>
            <w:tcW w:w="3815" w:type="dxa"/>
            <w:tcBorders>
              <w:top w:val="single" w:color="auto" w:sz="4" w:space="0"/>
            </w:tcBorders>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供应商针对本项目提供人员配备安排</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内容包含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组织架构、人员配置、岗位职责等</w:t>
            </w:r>
            <w:r>
              <w:rPr>
                <w:rFonts w:hint="eastAsia" w:ascii="宋体" w:hAnsi="宋体" w:eastAsia="宋体" w:cs="宋体"/>
                <w:color w:val="auto"/>
                <w:sz w:val="21"/>
                <w:szCs w:val="21"/>
                <w:highlight w:val="none"/>
              </w:rPr>
              <w:t>。</w:t>
            </w:r>
          </w:p>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w:t>
            </w:r>
            <w:bookmarkStart w:id="102" w:name="OLE_LINK5"/>
            <w:r>
              <w:rPr>
                <w:rFonts w:hint="eastAsia" w:ascii="宋体" w:hAnsi="宋体" w:eastAsia="宋体" w:cs="宋体"/>
                <w:color w:val="auto"/>
                <w:sz w:val="21"/>
                <w:szCs w:val="21"/>
                <w:highlight w:val="none"/>
              </w:rPr>
              <w:t>优秀得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2"/>
          </w:p>
        </w:tc>
        <w:tc>
          <w:tcPr>
            <w:tcW w:w="2672"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ind w:firstLine="315" w:firstLineChars="150"/>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bookmarkStart w:id="103" w:name="OLE_LINK17"/>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保障方案（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bookmarkEnd w:id="103"/>
          </w:p>
        </w:tc>
        <w:tc>
          <w:tcPr>
            <w:tcW w:w="3815" w:type="dxa"/>
            <w:tcBorders>
              <w:top w:val="single" w:color="auto" w:sz="4" w:space="0"/>
            </w:tcBorders>
            <w:noWrap w:val="0"/>
            <w:vAlign w:val="center"/>
          </w:tcPr>
          <w:p>
            <w:pPr>
              <w:pStyle w:val="22"/>
              <w:ind w:left="0" w:leftChars="0" w:firstLine="0" w:firstLineChars="0"/>
              <w:rPr>
                <w:rFonts w:hint="eastAsia" w:ascii="宋体" w:hAnsi="宋体" w:eastAsia="宋体" w:cs="宋体"/>
                <w:color w:val="auto"/>
                <w:sz w:val="21"/>
                <w:szCs w:val="21"/>
                <w:highlight w:val="none"/>
              </w:rPr>
            </w:pPr>
            <w:bookmarkStart w:id="104" w:name="OLE_LINK18"/>
            <w:bookmarkStart w:id="105" w:name="OLE_LINK35"/>
            <w:r>
              <w:rPr>
                <w:rFonts w:hint="eastAsia" w:ascii="宋体" w:hAnsi="宋体" w:eastAsia="宋体" w:cs="宋体"/>
                <w:color w:val="auto"/>
                <w:sz w:val="21"/>
                <w:szCs w:val="21"/>
                <w:highlight w:val="none"/>
              </w:rPr>
              <w:t>供应商针对本项目提供</w:t>
            </w:r>
            <w:r>
              <w:rPr>
                <w:rFonts w:hint="eastAsia" w:ascii="宋体" w:hAnsi="宋体" w:eastAsia="宋体" w:cs="宋体"/>
                <w:color w:val="auto"/>
                <w:sz w:val="21"/>
                <w:szCs w:val="21"/>
                <w:highlight w:val="none"/>
                <w:lang w:val="en-US" w:eastAsia="zh-CN"/>
              </w:rPr>
              <w:t>项目保障方案,</w:t>
            </w:r>
            <w:r>
              <w:rPr>
                <w:rFonts w:hint="eastAsia" w:ascii="宋体" w:hAnsi="宋体" w:eastAsia="宋体" w:cs="宋体"/>
                <w:color w:val="auto"/>
                <w:sz w:val="21"/>
                <w:szCs w:val="21"/>
                <w:highlight w:val="none"/>
              </w:rPr>
              <w:t>内容包含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推进计划表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应急预案、内容风控管理</w:t>
            </w:r>
            <w:r>
              <w:rPr>
                <w:rFonts w:hint="eastAsia" w:ascii="宋体" w:hAnsi="宋体" w:eastAsia="宋体" w:cs="宋体"/>
                <w:color w:val="auto"/>
                <w:sz w:val="21"/>
                <w:szCs w:val="21"/>
                <w:highlight w:val="none"/>
              </w:rPr>
              <w:t>。</w:t>
            </w:r>
          </w:p>
          <w:p>
            <w:pPr>
              <w:pStyle w:val="2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w:t>
            </w:r>
            <w:bookmarkEnd w:id="104"/>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5"/>
          </w:p>
        </w:tc>
        <w:tc>
          <w:tcPr>
            <w:tcW w:w="2672" w:type="dxa"/>
            <w:vMerge w:val="continue"/>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6" w:type="dxa"/>
            <w:vMerge w:val="restart"/>
            <w:noWrap w:val="0"/>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8" w:type="dxa"/>
            <w:vMerge w:val="restart"/>
            <w:noWrap w:val="0"/>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127" w:type="dxa"/>
            <w:noWrap w:val="0"/>
            <w:vAlign w:val="center"/>
          </w:tcPr>
          <w:p>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3815" w:type="dxa"/>
            <w:noWrap w:val="0"/>
            <w:vAlign w:val="center"/>
          </w:tcPr>
          <w:p>
            <w:pPr>
              <w:widowControl/>
              <w:adjustRightInd w:val="0"/>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提供2022年1月1日至今曾实施过</w:t>
            </w:r>
            <w:r>
              <w:rPr>
                <w:rFonts w:hint="eastAsia" w:ascii="宋体" w:hAnsi="宋体" w:cs="宋体"/>
                <w:color w:val="auto"/>
                <w:sz w:val="21"/>
                <w:szCs w:val="21"/>
                <w:highlight w:val="none"/>
                <w:lang w:val="en-US" w:eastAsia="zh-CN"/>
              </w:rPr>
              <w:t>智库</w:t>
            </w:r>
            <w:bookmarkStart w:id="195" w:name="_GoBack"/>
            <w:bookmarkEnd w:id="195"/>
            <w:r>
              <w:rPr>
                <w:rFonts w:hint="eastAsia" w:ascii="宋体" w:hAnsi="宋体" w:eastAsia="宋体" w:cs="宋体"/>
                <w:color w:val="auto"/>
                <w:sz w:val="21"/>
                <w:szCs w:val="21"/>
                <w:highlight w:val="none"/>
                <w:lang w:val="zh-CN" w:eastAsia="zh-CN"/>
              </w:rPr>
              <w:t>服务相关业绩，每</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val="zh-CN" w:eastAsia="zh-CN"/>
              </w:rPr>
              <w:t>1项的得4分，最高得20分，未提供得0分。</w:t>
            </w:r>
          </w:p>
        </w:tc>
        <w:tc>
          <w:tcPr>
            <w:tcW w:w="2672" w:type="dxa"/>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5" w:author="作者" w:date="2025-08-06T12:40:19Z">
            <w:trPr>
              <w:trHeight w:val="1272" w:hRule="atLeast"/>
            </w:trPr>
          </w:trPrChange>
        </w:trPr>
        <w:tc>
          <w:tcPr>
            <w:tcW w:w="756" w:type="dxa"/>
            <w:vMerge w:val="continue"/>
            <w:noWrap w:val="0"/>
            <w:vAlign w:val="center"/>
            <w:tcPrChange w:id="6"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7"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8"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团队人员（10分）</w:t>
            </w:r>
          </w:p>
        </w:tc>
        <w:tc>
          <w:tcPr>
            <w:tcW w:w="3815" w:type="dxa"/>
            <w:noWrap w:val="0"/>
            <w:vAlign w:val="center"/>
            <w:tcPrChange w:id="9"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供应商针对本项目选派团队人员中具有新闻采编人员资格培训合格证书或互联网新闻信息采编培训合格证书；或具有新闻中级以上职称资格，提供1个得2.5分，最高得10分，未提供得0分。</w:t>
            </w:r>
          </w:p>
        </w:tc>
        <w:tc>
          <w:tcPr>
            <w:tcW w:w="2672" w:type="dxa"/>
            <w:noWrap w:val="0"/>
            <w:vAlign w:val="center"/>
            <w:tcPrChange w:id="10"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提供人员证书复印件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加盖供应商公章</w:t>
            </w:r>
          </w:p>
        </w:tc>
      </w:tr>
    </w:tbl>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99"/>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4"/>
    <w:bookmarkEnd w:id="95"/>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6" w:name="_Toc21054"/>
      <w:bookmarkEnd w:id="106"/>
      <w:bookmarkStart w:id="107" w:name="_Toc76462336"/>
      <w:bookmarkEnd w:id="107"/>
      <w:bookmarkStart w:id="108" w:name="_Toc106030891"/>
      <w:bookmarkEnd w:id="108"/>
      <w:bookmarkStart w:id="109" w:name="_Toc7556"/>
      <w:r>
        <w:rPr>
          <w:rFonts w:hint="eastAsia" w:asciiTheme="minorEastAsia" w:hAnsiTheme="minorEastAsia" w:eastAsiaTheme="minorEastAsia" w:cstheme="minorEastAsia"/>
          <w:color w:val="auto"/>
          <w:sz w:val="24"/>
          <w:highlight w:val="none"/>
        </w:rPr>
        <w:t>四、采购终止</w:t>
      </w:r>
      <w:bookmarkEnd w:id="109"/>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pPr>
        <w:pStyle w:val="2"/>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10" w:name="_Toc76462337"/>
      <w:bookmarkEnd w:id="110"/>
      <w:bookmarkStart w:id="111" w:name="_Toc102227313"/>
      <w:bookmarkEnd w:id="111"/>
      <w:bookmarkStart w:id="112" w:name="_Toc106030892"/>
      <w:bookmarkEnd w:id="112"/>
      <w:bookmarkStart w:id="113" w:name="_Toc32240"/>
      <w:bookmarkEnd w:id="113"/>
      <w:bookmarkStart w:id="114" w:name="_Toc4630"/>
      <w:r>
        <w:rPr>
          <w:rFonts w:hint="eastAsia" w:asciiTheme="minorEastAsia" w:hAnsiTheme="minorEastAsia" w:eastAsiaTheme="minorEastAsia" w:cstheme="minorEastAsia"/>
          <w:color w:val="auto"/>
          <w:sz w:val="36"/>
          <w:szCs w:val="30"/>
          <w:highlight w:val="none"/>
        </w:rPr>
        <w:t>第五篇  供应商须知</w:t>
      </w:r>
      <w:bookmarkEnd w:id="114"/>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5" w:name="_Toc106030893"/>
      <w:bookmarkEnd w:id="115"/>
      <w:bookmarkStart w:id="116" w:name="_Toc76462338"/>
      <w:bookmarkEnd w:id="116"/>
      <w:bookmarkStart w:id="117" w:name="_Toc11013"/>
      <w:bookmarkEnd w:id="117"/>
      <w:bookmarkStart w:id="118" w:name="_Toc342913389"/>
      <w:bookmarkEnd w:id="118"/>
      <w:bookmarkStart w:id="119" w:name="_Toc11759"/>
      <w:r>
        <w:rPr>
          <w:rFonts w:hint="eastAsia" w:asciiTheme="minorEastAsia" w:hAnsiTheme="minorEastAsia" w:eastAsiaTheme="minorEastAsia" w:cstheme="minorEastAsia"/>
          <w:color w:val="auto"/>
          <w:sz w:val="24"/>
          <w:highlight w:val="none"/>
        </w:rPr>
        <w:t>一、磋商费用</w:t>
      </w:r>
      <w:bookmarkEnd w:id="119"/>
    </w:p>
    <w:p>
      <w:pPr>
        <w:pStyle w:val="14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0" w:name="_Toc11832"/>
      <w:bookmarkEnd w:id="120"/>
      <w:bookmarkStart w:id="121" w:name="_Toc106030894"/>
      <w:bookmarkEnd w:id="121"/>
      <w:bookmarkStart w:id="122" w:name="_Toc342913391"/>
      <w:bookmarkEnd w:id="122"/>
      <w:bookmarkStart w:id="123" w:name="_Toc76462339"/>
      <w:bookmarkEnd w:id="123"/>
      <w:bookmarkStart w:id="124" w:name="_Toc941"/>
      <w:r>
        <w:rPr>
          <w:rFonts w:hint="eastAsia" w:asciiTheme="minorEastAsia" w:hAnsiTheme="minorEastAsia" w:eastAsiaTheme="minorEastAsia" w:cstheme="minorEastAsia"/>
          <w:color w:val="auto"/>
          <w:sz w:val="24"/>
          <w:highlight w:val="none"/>
        </w:rPr>
        <w:t>二、竞争性磋商文件</w:t>
      </w:r>
      <w:bookmarkEnd w:id="124"/>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5" w:name="_Toc179714297"/>
      <w:bookmarkEnd w:id="125"/>
      <w:bookmarkStart w:id="126" w:name="_Toc106030895"/>
      <w:bookmarkEnd w:id="126"/>
      <w:bookmarkStart w:id="127" w:name="_Toc29817"/>
      <w:bookmarkEnd w:id="127"/>
      <w:bookmarkStart w:id="128" w:name="_Toc102227318"/>
      <w:bookmarkEnd w:id="128"/>
      <w:bookmarkStart w:id="129" w:name="_Toc342913392"/>
      <w:bookmarkEnd w:id="129"/>
      <w:bookmarkStart w:id="130" w:name="_Toc76462340"/>
      <w:bookmarkEnd w:id="130"/>
      <w:bookmarkStart w:id="131" w:name="_Toc1222"/>
      <w:r>
        <w:rPr>
          <w:rFonts w:hint="eastAsia" w:asciiTheme="minorEastAsia" w:hAnsiTheme="minorEastAsia" w:eastAsiaTheme="minorEastAsia" w:cstheme="minorEastAsia"/>
          <w:color w:val="auto"/>
          <w:sz w:val="24"/>
          <w:highlight w:val="none"/>
        </w:rPr>
        <w:t>三、磋商要求</w:t>
      </w:r>
      <w:bookmarkEnd w:id="13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份，其中正本一份，副本一份，电子文档一份（电子文档内容应与投标文件正本一致，推荐采用光盘或U盘为文件载体）；副本可为正本的复印件，应与正本一致，如出现不一致情况以正本为准。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2" w:name="_Toc106030896"/>
      <w:bookmarkEnd w:id="132"/>
      <w:bookmarkStart w:id="133" w:name="_Toc76462341"/>
      <w:bookmarkEnd w:id="133"/>
      <w:bookmarkStart w:id="134" w:name="_Toc9369"/>
      <w:bookmarkEnd w:id="134"/>
      <w:bookmarkStart w:id="135" w:name="_Toc16371"/>
      <w:r>
        <w:rPr>
          <w:rFonts w:hint="eastAsia" w:asciiTheme="minorEastAsia" w:hAnsiTheme="minorEastAsia" w:eastAsiaTheme="minorEastAsia" w:cstheme="minorEastAsia"/>
          <w:color w:val="auto"/>
          <w:sz w:val="24"/>
          <w:highlight w:val="none"/>
        </w:rPr>
        <w:t>四、成交供应商的确认和变更</w:t>
      </w:r>
      <w:bookmarkEnd w:id="135"/>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6" w:name="_Toc106030897"/>
      <w:bookmarkEnd w:id="136"/>
      <w:bookmarkStart w:id="137" w:name="_Toc342913395"/>
      <w:bookmarkEnd w:id="137"/>
      <w:bookmarkStart w:id="138" w:name="_Toc76462342"/>
      <w:bookmarkEnd w:id="138"/>
      <w:bookmarkStart w:id="139" w:name="_Toc102227321"/>
      <w:bookmarkEnd w:id="139"/>
      <w:bookmarkStart w:id="140" w:name="_Toc29760"/>
      <w:bookmarkEnd w:id="140"/>
      <w:bookmarkStart w:id="141" w:name="_Toc17075"/>
      <w:r>
        <w:rPr>
          <w:rFonts w:hint="eastAsia" w:asciiTheme="minorEastAsia" w:hAnsiTheme="minorEastAsia" w:eastAsiaTheme="minorEastAsia" w:cstheme="minorEastAsia"/>
          <w:color w:val="auto"/>
          <w:sz w:val="24"/>
          <w:highlight w:val="none"/>
        </w:rPr>
        <w:t>五、成交通知</w:t>
      </w:r>
      <w:bookmarkEnd w:id="14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27425"/>
      <w:bookmarkEnd w:id="142"/>
      <w:bookmarkStart w:id="143" w:name="_Toc76462343"/>
      <w:bookmarkEnd w:id="143"/>
      <w:bookmarkStart w:id="144" w:name="_Toc106030898"/>
      <w:bookmarkEnd w:id="144"/>
      <w:bookmarkStart w:id="145" w:name="_Toc3724"/>
      <w:r>
        <w:rPr>
          <w:rFonts w:hint="eastAsia" w:asciiTheme="minorEastAsia" w:hAnsiTheme="minorEastAsia" w:eastAsiaTheme="minorEastAsia" w:cstheme="minorEastAsia"/>
          <w:color w:val="auto"/>
          <w:sz w:val="24"/>
          <w:highlight w:val="none"/>
        </w:rPr>
        <w:t>六、关于询问</w:t>
      </w:r>
      <w:bookmarkEnd w:id="145"/>
    </w:p>
    <w:p>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6" w:name="_Toc106030899"/>
      <w:bookmarkEnd w:id="146"/>
      <w:bookmarkStart w:id="147" w:name="_Toc813"/>
      <w:bookmarkEnd w:id="147"/>
      <w:bookmarkStart w:id="148" w:name="_Toc76462344"/>
      <w:bookmarkEnd w:id="148"/>
      <w:bookmarkStart w:id="149" w:name="_Toc7141"/>
      <w:r>
        <w:rPr>
          <w:rFonts w:hint="eastAsia" w:asciiTheme="minorEastAsia" w:hAnsiTheme="minorEastAsia" w:eastAsiaTheme="minorEastAsia" w:cstheme="minorEastAsia"/>
          <w:color w:val="auto"/>
          <w:sz w:val="24"/>
          <w:highlight w:val="none"/>
        </w:rPr>
        <w:t>七、采购代理服务费</w:t>
      </w:r>
      <w:bookmarkEnd w:id="149"/>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olor w:val="auto"/>
          <w:sz w:val="24"/>
          <w:szCs w:val="24"/>
          <w:highlight w:val="none"/>
        </w:rPr>
        <w:t>成交供应商在领取成交通知书前，按照以下标准向采购代理机构缴纳代理服务费。代理服务费参照【计价格［2002］1980号】文规定的收费标准计取。如计算后不足人民币4000元的按保底金额4000元计取。</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ind w:firstLine="1687" w:firstLineChars="8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 w:val="21"/>
                <w:szCs w:val="21"/>
                <w:highlight w:val="none"/>
              </w:rPr>
              <w:t>采购类型</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成交金额（万元）</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货物采购</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服务采购</w:t>
            </w:r>
          </w:p>
        </w:tc>
        <w:tc>
          <w:tcPr>
            <w:tcW w:w="2272"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100以下</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10000-100000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1000000以上</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r>
    </w:tbl>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（二）成交供应商如未按上述规定缴付采购代理服务费，其保证金将不予退还。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0" w:name="_Toc342913396"/>
      <w:bookmarkEnd w:id="150"/>
      <w:bookmarkStart w:id="151" w:name="_Toc76462346"/>
      <w:bookmarkEnd w:id="151"/>
      <w:bookmarkStart w:id="152" w:name="_Toc106030901"/>
      <w:bookmarkEnd w:id="152"/>
      <w:bookmarkStart w:id="153" w:name="_Toc102227322"/>
      <w:bookmarkEnd w:id="153"/>
      <w:bookmarkStart w:id="154" w:name="_Toc30259"/>
      <w:bookmarkEnd w:id="154"/>
      <w:bookmarkStart w:id="155" w:name="_Toc6560"/>
      <w:bookmarkStart w:id="156" w:name="_Toc11641055"/>
      <w:bookmarkStart w:id="157" w:name="_Toc12789059"/>
      <w:r>
        <w:rPr>
          <w:rFonts w:hint="eastAsia" w:asciiTheme="minorEastAsia" w:hAnsiTheme="minorEastAsia" w:eastAsiaTheme="minorEastAsia" w:cstheme="minorEastAsia"/>
          <w:color w:val="auto"/>
          <w:sz w:val="24"/>
          <w:highlight w:val="none"/>
        </w:rPr>
        <w:t>八、签订合同</w:t>
      </w:r>
      <w:bookmarkEnd w:id="155"/>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pPr>
        <w:pStyle w:val="3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7"/>
        <w:rPr>
          <w:rFonts w:hint="eastAsia" w:asciiTheme="minorEastAsia" w:hAnsiTheme="minorEastAsia" w:eastAsiaTheme="minorEastAsia" w:cstheme="minorEastAsia"/>
          <w:color w:val="auto"/>
          <w:sz w:val="24"/>
          <w:szCs w:val="24"/>
          <w:highlight w:val="none"/>
        </w:rPr>
      </w:pPr>
    </w:p>
    <w:p>
      <w:pPr>
        <w:rPr>
          <w:color w:val="auto"/>
          <w:highlight w:val="none"/>
        </w:rPr>
      </w:pPr>
    </w:p>
    <w:bookmarkEnd w:id="156"/>
    <w:bookmarkEnd w:id="157"/>
    <w:p>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pPr>
        <w:pStyle w:val="2"/>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8" w:name="_Toc1485"/>
      <w:r>
        <w:rPr>
          <w:rFonts w:hint="eastAsia" w:asciiTheme="minorEastAsia" w:hAnsiTheme="minorEastAsia" w:eastAsiaTheme="minorEastAsia" w:cstheme="minorEastAsia"/>
          <w:bCs/>
          <w:color w:val="auto"/>
          <w:sz w:val="36"/>
          <w:szCs w:val="30"/>
          <w:highlight w:val="none"/>
        </w:rPr>
        <w:t>第六篇  响应文件编制要求</w:t>
      </w:r>
      <w:bookmarkEnd w:id="158"/>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（二）商务评审资料（自附）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napToGrid w:val="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rPr>
        <w:t>特定资格条件证书或证明文件</w:t>
      </w:r>
      <w:r>
        <w:rPr>
          <w:rFonts w:hint="eastAsia" w:asciiTheme="minorEastAsia" w:hAnsiTheme="minorEastAsia" w:eastAsiaTheme="minorEastAsia" w:cstheme="minorEastAsia"/>
          <w:b/>
          <w:bCs/>
          <w:color w:val="auto"/>
          <w:sz w:val="24"/>
          <w:szCs w:val="24"/>
          <w:highlight w:val="none"/>
        </w:rPr>
        <w:t>（如果有）</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snapToGrid w:val="0"/>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9" w:name="_Toc342913419"/>
      <w:bookmarkEnd w:id="159"/>
      <w:bookmarkStart w:id="160" w:name="_Toc106030906"/>
      <w:bookmarkEnd w:id="160"/>
      <w:bookmarkStart w:id="161" w:name="_Toc313008356"/>
      <w:bookmarkEnd w:id="161"/>
      <w:bookmarkStart w:id="162" w:name="_Toc11543"/>
      <w:bookmarkEnd w:id="162"/>
      <w:bookmarkStart w:id="163" w:name="_Toc313888360"/>
      <w:bookmarkEnd w:id="163"/>
      <w:bookmarkStart w:id="164" w:name="_Toc76462350"/>
      <w:bookmarkEnd w:id="164"/>
      <w:bookmarkStart w:id="165" w:name="_Toc19738"/>
      <w:r>
        <w:rPr>
          <w:rFonts w:hint="eastAsia" w:asciiTheme="minorEastAsia" w:hAnsiTheme="minorEastAsia" w:eastAsiaTheme="minorEastAsia" w:cstheme="minorEastAsia"/>
          <w:color w:val="auto"/>
          <w:sz w:val="24"/>
          <w:highlight w:val="none"/>
        </w:rPr>
        <w:t>一、经济部分</w:t>
      </w:r>
      <w:bookmarkEnd w:id="165"/>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pStyle w:val="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pPr>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pPr>
        <w:snapToGrid w:val="0"/>
        <w:spacing w:line="500" w:lineRule="exact"/>
        <w:rPr>
          <w:rFonts w:hint="eastAsia" w:asciiTheme="minorEastAsia" w:hAnsiTheme="minorEastAsia" w:eastAsiaTheme="minorEastAsia" w:cstheme="minorEastAsia"/>
          <w:color w:val="auto"/>
          <w:sz w:val="24"/>
          <w:szCs w:val="24"/>
          <w:highlight w:val="none"/>
        </w:rPr>
      </w:pPr>
      <w:bookmarkStart w:id="166" w:name="OLE_LINK1"/>
      <w:bookmarkEnd w:id="166"/>
      <w:bookmarkStart w:id="167" w:name="OLE_LINK2"/>
      <w:bookmarkEnd w:id="167"/>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right="480" w:firstLine="6480" w:firstLineChars="27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供应商名称（公章）或自然人签署：</w:t>
      </w:r>
    </w:p>
    <w:p>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8" w:name="_Toc313008357"/>
      <w:bookmarkEnd w:id="168"/>
      <w:bookmarkStart w:id="169" w:name="_Toc342913420"/>
      <w:bookmarkEnd w:id="169"/>
      <w:bookmarkStart w:id="170" w:name="_Toc76462351"/>
      <w:bookmarkEnd w:id="170"/>
      <w:bookmarkStart w:id="171" w:name="_Toc313888361"/>
      <w:bookmarkEnd w:id="171"/>
      <w:bookmarkStart w:id="172" w:name="_Toc29766"/>
      <w:bookmarkEnd w:id="172"/>
      <w:bookmarkStart w:id="173" w:name="_Toc106030907"/>
      <w:bookmarkEnd w:id="173"/>
      <w:bookmarkStart w:id="174" w:name="_Toc24548"/>
      <w:r>
        <w:rPr>
          <w:rFonts w:hint="eastAsia" w:asciiTheme="minorEastAsia" w:hAnsiTheme="minorEastAsia" w:eastAsiaTheme="minorEastAsia" w:cstheme="minorEastAsia"/>
          <w:color w:val="auto"/>
          <w:sz w:val="24"/>
          <w:highlight w:val="none"/>
        </w:rPr>
        <w:t>二、服务部分</w:t>
      </w:r>
      <w:bookmarkEnd w:id="174"/>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本公司完全响应磋商文件第二篇项目服务需求全部内容及要求，无负偏离、无差异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pStyle w:val="2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asciiTheme="minorEastAsia" w:hAnsiTheme="minorEastAsia" w:eastAsiaTheme="minorEastAsia" w:cstheme="minorEastAsia"/>
          <w:color w:val="auto"/>
          <w:sz w:val="24"/>
          <w:szCs w:val="28"/>
          <w:highlight w:val="none"/>
        </w:rPr>
      </w:pPr>
    </w:p>
    <w:p>
      <w:pPr>
        <w:pStyle w:val="22"/>
        <w:rPr>
          <w:rFonts w:hint="eastAsia"/>
          <w:color w:val="auto"/>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 xml:space="preserve"> 法定代表人或法定代表人授权代表：</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（公章）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（签字或盖章）</w:t>
      </w:r>
    </w:p>
    <w:p>
      <w:pPr>
        <w:spacing w:line="500" w:lineRule="exact"/>
        <w:ind w:left="274" w:leftChars="98" w:firstLine="199" w:firstLineChars="8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 xml:space="preserve">                                            年     月     日</w:t>
      </w:r>
      <w:r>
        <w:rPr>
          <w:rFonts w:hint="eastAsia" w:asciiTheme="minorEastAsia" w:hAnsiTheme="minorEastAsia" w:eastAsiaTheme="minorEastAsia" w:cstheme="minorEastAsia"/>
          <w:color w:val="auto"/>
          <w:sz w:val="24"/>
          <w:szCs w:val="28"/>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pPr>
        <w:snapToGrid w:val="0"/>
        <w:spacing w:line="500" w:lineRule="exact"/>
        <w:ind w:left="241" w:leftChars="86"/>
        <w:rPr>
          <w:rFonts w:hint="eastAsia" w:ascii="宋体" w:hAnsi="宋体" w:eastAsia="宋体" w:cs="宋体"/>
          <w:color w:val="auto"/>
          <w:sz w:val="24"/>
          <w:szCs w:val="24"/>
        </w:rPr>
      </w:pPr>
      <w:r>
        <w:rPr>
          <w:rFonts w:hint="eastAsia" w:ascii="宋体" w:hAnsi="宋体" w:eastAsia="宋体" w:cs="宋体"/>
          <w:b/>
          <w:color w:val="auto"/>
          <w:sz w:val="24"/>
          <w:szCs w:val="24"/>
        </w:rPr>
        <w:t>说明：</w:t>
      </w:r>
      <w:r>
        <w:rPr>
          <w:rFonts w:hint="eastAsia" w:ascii="宋体" w:hAnsi="宋体" w:eastAsia="宋体" w:cs="宋体"/>
          <w:color w:val="auto"/>
          <w:sz w:val="24"/>
          <w:szCs w:val="24"/>
        </w:rPr>
        <w:t>结合第二篇项目服务要求和第四篇评标标准要求制定方案，格式自拟。</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pStyle w:val="2"/>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75" w:name="_Toc313888362"/>
      <w:bookmarkEnd w:id="175"/>
      <w:bookmarkStart w:id="176" w:name="_Toc106030908"/>
      <w:bookmarkEnd w:id="176"/>
      <w:bookmarkStart w:id="177" w:name="_Toc342913421"/>
      <w:bookmarkEnd w:id="177"/>
      <w:bookmarkStart w:id="178" w:name="_Toc76462352"/>
      <w:bookmarkEnd w:id="178"/>
      <w:bookmarkStart w:id="179" w:name="_Toc313008358"/>
      <w:bookmarkEnd w:id="179"/>
      <w:bookmarkStart w:id="180" w:name="_Toc30533"/>
      <w:bookmarkEnd w:id="180"/>
      <w:r>
        <w:rPr>
          <w:rFonts w:hint="eastAsia" w:asciiTheme="minorEastAsia" w:hAnsiTheme="minorEastAsia" w:eastAsiaTheme="minorEastAsia" w:cstheme="minorEastAsia"/>
          <w:b w:val="0"/>
          <w:color w:val="auto"/>
          <w:highlight w:val="none"/>
        </w:rPr>
        <w:br w:type="page"/>
      </w:r>
      <w:bookmarkStart w:id="181" w:name="_Toc2279"/>
      <w:r>
        <w:rPr>
          <w:rFonts w:hint="eastAsia" w:asciiTheme="minorEastAsia" w:hAnsiTheme="minorEastAsia" w:eastAsiaTheme="minorEastAsia" w:cstheme="minorEastAsia"/>
          <w:color w:val="auto"/>
          <w:sz w:val="24"/>
          <w:highlight w:val="none"/>
        </w:rPr>
        <w:t>三、商务部分</w:t>
      </w:r>
      <w:bookmarkEnd w:id="18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w:t>
      </w:r>
      <w:r>
        <w:rPr>
          <w:rFonts w:hint="eastAsia" w:asciiTheme="minorEastAsia" w:hAnsiTheme="minorEastAsia" w:eastAsiaTheme="minorEastAsia" w:cstheme="minorEastAsia"/>
          <w:color w:val="auto"/>
          <w:sz w:val="24"/>
          <w:szCs w:val="28"/>
          <w:highlight w:val="none"/>
          <w:lang w:val="en-US" w:eastAsia="zh-CN"/>
        </w:rPr>
        <w:t>磋商</w:t>
      </w:r>
      <w:r>
        <w:rPr>
          <w:rFonts w:hint="eastAsia" w:asciiTheme="minorEastAsia" w:hAnsiTheme="minorEastAsia" w:eastAsiaTheme="minorEastAsia" w:cstheme="minorEastAsia"/>
          <w:color w:val="auto"/>
          <w:sz w:val="24"/>
          <w:szCs w:val="28"/>
          <w:highlight w:val="none"/>
        </w:rPr>
        <w:t>文件第三篇项目商务需求全部内容及要求，无负偏离、无差异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pStyle w:val="2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color w:val="auto"/>
        </w:rPr>
      </w:pP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供应商：                        法定代表人或法定代表人授权代表：</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                               （签字或盖章）</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82"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（二）商务评审资料（自附）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82"/>
    <w:p>
      <w:pPr>
        <w:pStyle w:val="2"/>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3" w:name="_Toc28692"/>
      <w:bookmarkEnd w:id="183"/>
      <w:bookmarkStart w:id="184" w:name="_Toc76462353"/>
      <w:bookmarkEnd w:id="184"/>
      <w:bookmarkStart w:id="185" w:name="_Toc106030909"/>
      <w:bookmarkEnd w:id="185"/>
      <w:bookmarkStart w:id="186" w:name="_Toc342913422"/>
      <w:bookmarkEnd w:id="186"/>
      <w:bookmarkStart w:id="187" w:name="_Toc313888363"/>
      <w:bookmarkEnd w:id="187"/>
      <w:bookmarkStart w:id="188" w:name="_Toc313008359"/>
      <w:bookmarkEnd w:id="188"/>
      <w:r>
        <w:rPr>
          <w:rFonts w:hint="eastAsia" w:asciiTheme="minorEastAsia" w:hAnsiTheme="minorEastAsia" w:eastAsiaTheme="minorEastAsia" w:cstheme="minorEastAsia"/>
          <w:color w:val="auto"/>
          <w:sz w:val="24"/>
          <w:szCs w:val="24"/>
          <w:highlight w:val="none"/>
        </w:rPr>
        <w:br w:type="page"/>
      </w:r>
      <w:bookmarkStart w:id="189" w:name="_Toc22383"/>
      <w:r>
        <w:rPr>
          <w:rFonts w:hint="eastAsia" w:asciiTheme="minorEastAsia" w:hAnsiTheme="minorEastAsia" w:eastAsiaTheme="minorEastAsia" w:cstheme="minorEastAsia"/>
          <w:color w:val="auto"/>
          <w:sz w:val="24"/>
          <w:highlight w:val="none"/>
        </w:rPr>
        <w:t>四、资格条件</w:t>
      </w:r>
      <w:bookmarkEnd w:id="189"/>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供应商若</w:t>
      </w:r>
      <w:r>
        <w:rPr>
          <w:rFonts w:hint="eastAsia" w:asciiTheme="minorEastAsia" w:hAnsiTheme="minorEastAsia" w:eastAsiaTheme="minorEastAsia" w:cstheme="minorEastAsia"/>
          <w:color w:val="auto"/>
          <w:sz w:val="24"/>
          <w:szCs w:val="24"/>
          <w:highlight w:val="none"/>
        </w:rPr>
        <w:t>为授权的分支机构，除提供自身的营业执照复印件外，还须同时提供其</w:t>
      </w:r>
      <w:r>
        <w:rPr>
          <w:rFonts w:hint="eastAsia" w:asciiTheme="minorEastAsia" w:hAnsiTheme="minorEastAsia" w:eastAsiaTheme="minorEastAsia" w:cstheme="minorEastAsia"/>
          <w:color w:val="auto"/>
          <w:sz w:val="24"/>
          <w:szCs w:val="24"/>
          <w:highlight w:val="none"/>
          <w:lang w:val="en-US" w:eastAsia="zh-CN"/>
        </w:rPr>
        <w:t>总部</w:t>
      </w:r>
      <w:r>
        <w:rPr>
          <w:rFonts w:hint="eastAsia" w:asciiTheme="minorEastAsia" w:hAnsiTheme="minorEastAsia" w:eastAsiaTheme="minorEastAsia" w:cstheme="minorEastAsia"/>
          <w:color w:val="auto"/>
          <w:sz w:val="24"/>
          <w:szCs w:val="24"/>
          <w:highlight w:val="none"/>
        </w:rPr>
        <w:t>的营业执照复印件）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lang w:eastAsia="zh-CN"/>
        </w:rPr>
        <w:t>负责人</w:t>
      </w:r>
      <w:r>
        <w:rPr>
          <w:rFonts w:hint="eastAsia" w:asciiTheme="minorEastAsia" w:hAnsiTheme="minorEastAsia" w:eastAsiaTheme="minorEastAsia" w:cstheme="minorEastAsia"/>
          <w:color w:val="auto"/>
          <w:sz w:val="24"/>
          <w:highlight w:val="none"/>
        </w:rPr>
        <w:t>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电话：XXXXXXX      电子邮箱：XXXXXX@XXXXX（若授权他人办理并签署响应文件的可不填写电话及电子邮箱）</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w:t>
      </w:r>
      <w:r>
        <w:rPr>
          <w:rFonts w:hint="eastAsia" w:asciiTheme="minorEastAsia" w:hAnsiTheme="minorEastAsia" w:eastAsiaTheme="minorEastAsia" w:cstheme="minorEastAsia"/>
          <w:b/>
          <w:bCs/>
          <w:color w:val="auto"/>
          <w:sz w:val="24"/>
          <w:highlight w:val="none"/>
          <w:lang w:val="en-US" w:eastAsia="zh-CN"/>
        </w:rPr>
        <w:t>或负责人</w:t>
      </w:r>
      <w:r>
        <w:rPr>
          <w:rFonts w:hint="eastAsia" w:asciiTheme="minorEastAsia" w:hAnsiTheme="minorEastAsia" w:eastAsiaTheme="minorEastAsia" w:cstheme="minorEastAsia"/>
          <w:b/>
          <w:bCs/>
          <w:color w:val="auto"/>
          <w:sz w:val="24"/>
          <w:highlight w:val="none"/>
        </w:rPr>
        <w:t>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w:t>
      </w:r>
      <w:r>
        <w:rPr>
          <w:rFonts w:hint="eastAsia" w:asciiTheme="minorEastAsia" w:hAnsiTheme="minorEastAsia" w:eastAsiaTheme="minorEastAsia" w:cstheme="minorEastAsia"/>
          <w:b/>
          <w:bCs/>
          <w:color w:val="auto"/>
          <w:sz w:val="24"/>
          <w:highlight w:val="none"/>
          <w:u w:val="single"/>
        </w:rPr>
        <w:t>姓名及身份证</w:t>
      </w:r>
      <w:r>
        <w:rPr>
          <w:rFonts w:hint="eastAsia" w:asciiTheme="minorEastAsia" w:hAnsiTheme="minorEastAsia" w:eastAsiaTheme="minorEastAsia" w:cstheme="minorEastAsia"/>
          <w:b/>
          <w:bCs/>
          <w:color w:val="auto"/>
          <w:sz w:val="24"/>
          <w:highlight w:val="none"/>
          <w:u w:val="single"/>
          <w:lang w:val="en-US" w:eastAsia="zh-CN"/>
        </w:rPr>
        <w:t>号码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Style w:val="22"/>
        <w:rPr>
          <w:rFonts w:hint="eastAsia"/>
          <w:color w:val="auto"/>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pStyle w:val="2"/>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90" w:name="_Toc14422"/>
      <w:bookmarkEnd w:id="190"/>
      <w:bookmarkStart w:id="191" w:name="_Toc106030910"/>
      <w:bookmarkEnd w:id="191"/>
      <w:bookmarkStart w:id="192" w:name="_Toc76462354"/>
      <w:bookmarkEnd w:id="192"/>
      <w:bookmarkStart w:id="193" w:name="_Toc7667"/>
      <w:bookmarkEnd w:id="193"/>
      <w:r>
        <w:rPr>
          <w:rFonts w:hint="eastAsia" w:asciiTheme="minorEastAsia" w:hAnsiTheme="minorEastAsia" w:eastAsiaTheme="minorEastAsia" w:cstheme="minorEastAsia"/>
          <w:b w:val="0"/>
          <w:color w:val="auto"/>
          <w:sz w:val="28"/>
          <w:highlight w:val="none"/>
        </w:rPr>
        <w:br w:type="page"/>
      </w:r>
      <w:bookmarkStart w:id="194" w:name="_Toc1555"/>
      <w:r>
        <w:rPr>
          <w:rFonts w:hint="eastAsia" w:asciiTheme="minorEastAsia" w:hAnsiTheme="minorEastAsia" w:eastAsiaTheme="minorEastAsia" w:cstheme="minorEastAsia"/>
          <w:color w:val="auto"/>
          <w:sz w:val="24"/>
          <w:highlight w:val="none"/>
        </w:rPr>
        <w:t>五、其他资料</w:t>
      </w:r>
      <w:bookmarkEnd w:id="19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388773B-EE73-45AF-AF36-E479859C6D77}"/>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AC491E7A-6A4F-49ED-AFE0-59A55467124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0A2A"/>
    <w:rsid w:val="000816AD"/>
    <w:rsid w:val="00082CC1"/>
    <w:rsid w:val="00084249"/>
    <w:rsid w:val="00090C5A"/>
    <w:rsid w:val="00091B1C"/>
    <w:rsid w:val="00091D22"/>
    <w:rsid w:val="000A164E"/>
    <w:rsid w:val="000A3057"/>
    <w:rsid w:val="000A48A9"/>
    <w:rsid w:val="000B1068"/>
    <w:rsid w:val="000B3002"/>
    <w:rsid w:val="000B3A64"/>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275A"/>
    <w:rsid w:val="00263663"/>
    <w:rsid w:val="002643C1"/>
    <w:rsid w:val="00265203"/>
    <w:rsid w:val="00270223"/>
    <w:rsid w:val="0027199E"/>
    <w:rsid w:val="00271D47"/>
    <w:rsid w:val="002721EA"/>
    <w:rsid w:val="002752BA"/>
    <w:rsid w:val="002761C6"/>
    <w:rsid w:val="00280E8A"/>
    <w:rsid w:val="00285164"/>
    <w:rsid w:val="002855B0"/>
    <w:rsid w:val="00286959"/>
    <w:rsid w:val="002941D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17DB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1E4"/>
    <w:rsid w:val="003A71F3"/>
    <w:rsid w:val="003B19F5"/>
    <w:rsid w:val="003D0E0A"/>
    <w:rsid w:val="003D3B22"/>
    <w:rsid w:val="003D7B3D"/>
    <w:rsid w:val="003E0348"/>
    <w:rsid w:val="003F3DB1"/>
    <w:rsid w:val="003F451E"/>
    <w:rsid w:val="003F4939"/>
    <w:rsid w:val="003F626F"/>
    <w:rsid w:val="003F6794"/>
    <w:rsid w:val="003F7374"/>
    <w:rsid w:val="00402B32"/>
    <w:rsid w:val="0040519F"/>
    <w:rsid w:val="0040781E"/>
    <w:rsid w:val="00410C93"/>
    <w:rsid w:val="004115FB"/>
    <w:rsid w:val="00411B4A"/>
    <w:rsid w:val="004134DD"/>
    <w:rsid w:val="00417E99"/>
    <w:rsid w:val="00421507"/>
    <w:rsid w:val="00424D02"/>
    <w:rsid w:val="0042525A"/>
    <w:rsid w:val="0042733C"/>
    <w:rsid w:val="00433692"/>
    <w:rsid w:val="0044185A"/>
    <w:rsid w:val="0044193A"/>
    <w:rsid w:val="0044647E"/>
    <w:rsid w:val="00453B8F"/>
    <w:rsid w:val="004556B7"/>
    <w:rsid w:val="0045580D"/>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033D3"/>
    <w:rsid w:val="00512D00"/>
    <w:rsid w:val="00512D44"/>
    <w:rsid w:val="00514179"/>
    <w:rsid w:val="00516243"/>
    <w:rsid w:val="005164D4"/>
    <w:rsid w:val="005347F2"/>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2BA3"/>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B0A"/>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311A"/>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9F1B28"/>
    <w:rsid w:val="00A0197B"/>
    <w:rsid w:val="00A02768"/>
    <w:rsid w:val="00A03977"/>
    <w:rsid w:val="00A06013"/>
    <w:rsid w:val="00A07087"/>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6B02"/>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6C85"/>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2B66"/>
    <w:rsid w:val="00FE326F"/>
    <w:rsid w:val="00FE4CC7"/>
    <w:rsid w:val="00FE5C31"/>
    <w:rsid w:val="00FF0F20"/>
    <w:rsid w:val="00FF1B0E"/>
    <w:rsid w:val="00FF268A"/>
    <w:rsid w:val="00FF748B"/>
    <w:rsid w:val="010848B5"/>
    <w:rsid w:val="02D4768E"/>
    <w:rsid w:val="02F86AE3"/>
    <w:rsid w:val="041457E8"/>
    <w:rsid w:val="045559CC"/>
    <w:rsid w:val="05A85FE3"/>
    <w:rsid w:val="05E74E62"/>
    <w:rsid w:val="06266FC3"/>
    <w:rsid w:val="06A05C25"/>
    <w:rsid w:val="06A3252D"/>
    <w:rsid w:val="07584455"/>
    <w:rsid w:val="07CC079B"/>
    <w:rsid w:val="07F84E71"/>
    <w:rsid w:val="08B009EB"/>
    <w:rsid w:val="08D02AEC"/>
    <w:rsid w:val="08EC4F18"/>
    <w:rsid w:val="097C3D4B"/>
    <w:rsid w:val="09A73D7B"/>
    <w:rsid w:val="0A4E0677"/>
    <w:rsid w:val="0A5A67D6"/>
    <w:rsid w:val="0AD73620"/>
    <w:rsid w:val="0B28049E"/>
    <w:rsid w:val="0C212AC6"/>
    <w:rsid w:val="0C30278A"/>
    <w:rsid w:val="0C9E75C1"/>
    <w:rsid w:val="0D6D6D47"/>
    <w:rsid w:val="0DC82110"/>
    <w:rsid w:val="0E173189"/>
    <w:rsid w:val="0E36425D"/>
    <w:rsid w:val="0E39045D"/>
    <w:rsid w:val="0E6420CA"/>
    <w:rsid w:val="0E8536A2"/>
    <w:rsid w:val="0E9E3446"/>
    <w:rsid w:val="0EBF440A"/>
    <w:rsid w:val="0F437B57"/>
    <w:rsid w:val="0F990090"/>
    <w:rsid w:val="0F9B4263"/>
    <w:rsid w:val="0FC3607D"/>
    <w:rsid w:val="10912B94"/>
    <w:rsid w:val="11420035"/>
    <w:rsid w:val="12D5724B"/>
    <w:rsid w:val="13F77B10"/>
    <w:rsid w:val="14255848"/>
    <w:rsid w:val="147A5E14"/>
    <w:rsid w:val="15AB34F1"/>
    <w:rsid w:val="16643D97"/>
    <w:rsid w:val="1732777D"/>
    <w:rsid w:val="175A3EB4"/>
    <w:rsid w:val="17A1211B"/>
    <w:rsid w:val="17F42C82"/>
    <w:rsid w:val="1830456F"/>
    <w:rsid w:val="18574301"/>
    <w:rsid w:val="18793445"/>
    <w:rsid w:val="18ED7A84"/>
    <w:rsid w:val="19F02F14"/>
    <w:rsid w:val="1A6B191D"/>
    <w:rsid w:val="1AEC1033"/>
    <w:rsid w:val="1B1F61B2"/>
    <w:rsid w:val="1B553EF2"/>
    <w:rsid w:val="1B636043"/>
    <w:rsid w:val="1BED4E7D"/>
    <w:rsid w:val="1C0020E8"/>
    <w:rsid w:val="1C01771B"/>
    <w:rsid w:val="1C0A55B8"/>
    <w:rsid w:val="1D112EEB"/>
    <w:rsid w:val="1D566544"/>
    <w:rsid w:val="1E006819"/>
    <w:rsid w:val="1F1FA109"/>
    <w:rsid w:val="1F4A2E8F"/>
    <w:rsid w:val="1F915726"/>
    <w:rsid w:val="214959F4"/>
    <w:rsid w:val="21864056"/>
    <w:rsid w:val="22E05E65"/>
    <w:rsid w:val="237C0668"/>
    <w:rsid w:val="24060D56"/>
    <w:rsid w:val="2483337D"/>
    <w:rsid w:val="259D45CC"/>
    <w:rsid w:val="26111D82"/>
    <w:rsid w:val="262D59C5"/>
    <w:rsid w:val="269650B6"/>
    <w:rsid w:val="26DD6558"/>
    <w:rsid w:val="27297587"/>
    <w:rsid w:val="27FD4BA0"/>
    <w:rsid w:val="28250E06"/>
    <w:rsid w:val="28726E69"/>
    <w:rsid w:val="28A757C0"/>
    <w:rsid w:val="28B3315D"/>
    <w:rsid w:val="2A5C57A7"/>
    <w:rsid w:val="2AA01F44"/>
    <w:rsid w:val="2B856638"/>
    <w:rsid w:val="2BD92719"/>
    <w:rsid w:val="2C1D25A1"/>
    <w:rsid w:val="2D502EC3"/>
    <w:rsid w:val="2E1F2A86"/>
    <w:rsid w:val="2E2C7A19"/>
    <w:rsid w:val="2F530B70"/>
    <w:rsid w:val="2FF32A72"/>
    <w:rsid w:val="30C21505"/>
    <w:rsid w:val="31C30FB7"/>
    <w:rsid w:val="31DC053D"/>
    <w:rsid w:val="31F7359E"/>
    <w:rsid w:val="32124A43"/>
    <w:rsid w:val="33241305"/>
    <w:rsid w:val="33640164"/>
    <w:rsid w:val="33DE5327"/>
    <w:rsid w:val="33DF11FD"/>
    <w:rsid w:val="34480C48"/>
    <w:rsid w:val="34AF7FD2"/>
    <w:rsid w:val="35C37DC3"/>
    <w:rsid w:val="361733CE"/>
    <w:rsid w:val="36D264F7"/>
    <w:rsid w:val="374A75C6"/>
    <w:rsid w:val="37DFB5C0"/>
    <w:rsid w:val="389A0431"/>
    <w:rsid w:val="38A15662"/>
    <w:rsid w:val="38FC1CB1"/>
    <w:rsid w:val="38FD340A"/>
    <w:rsid w:val="39475874"/>
    <w:rsid w:val="39791731"/>
    <w:rsid w:val="3A243E65"/>
    <w:rsid w:val="3AEF3E7A"/>
    <w:rsid w:val="3C2E730F"/>
    <w:rsid w:val="3C590A97"/>
    <w:rsid w:val="3C796807"/>
    <w:rsid w:val="3D0C5A6A"/>
    <w:rsid w:val="3D4959E5"/>
    <w:rsid w:val="3DA96416"/>
    <w:rsid w:val="3DBF806F"/>
    <w:rsid w:val="3E047890"/>
    <w:rsid w:val="3E184608"/>
    <w:rsid w:val="3E521C87"/>
    <w:rsid w:val="3F324E04"/>
    <w:rsid w:val="3FD72BFC"/>
    <w:rsid w:val="3FDD4E17"/>
    <w:rsid w:val="406334F2"/>
    <w:rsid w:val="40641C32"/>
    <w:rsid w:val="4100667E"/>
    <w:rsid w:val="41E731BA"/>
    <w:rsid w:val="437E1660"/>
    <w:rsid w:val="43BA05EB"/>
    <w:rsid w:val="43FB34E3"/>
    <w:rsid w:val="44095C00"/>
    <w:rsid w:val="447C45E3"/>
    <w:rsid w:val="452C7897"/>
    <w:rsid w:val="45392D94"/>
    <w:rsid w:val="453E2506"/>
    <w:rsid w:val="46291965"/>
    <w:rsid w:val="46626131"/>
    <w:rsid w:val="46C95FD8"/>
    <w:rsid w:val="46D80540"/>
    <w:rsid w:val="48F94329"/>
    <w:rsid w:val="493F46D0"/>
    <w:rsid w:val="497B0D5F"/>
    <w:rsid w:val="497B7CB3"/>
    <w:rsid w:val="4ABC7A01"/>
    <w:rsid w:val="4AEB2504"/>
    <w:rsid w:val="4B274990"/>
    <w:rsid w:val="4B2D12E0"/>
    <w:rsid w:val="4B413C02"/>
    <w:rsid w:val="4B7C2B69"/>
    <w:rsid w:val="4BEB6B31"/>
    <w:rsid w:val="4C486D05"/>
    <w:rsid w:val="4C6F5AD6"/>
    <w:rsid w:val="4CFD344F"/>
    <w:rsid w:val="4D23705F"/>
    <w:rsid w:val="4D2974FE"/>
    <w:rsid w:val="4D5048A0"/>
    <w:rsid w:val="4D9E1AAF"/>
    <w:rsid w:val="4DA40DD2"/>
    <w:rsid w:val="4DB52955"/>
    <w:rsid w:val="4DD36371"/>
    <w:rsid w:val="4DEE4616"/>
    <w:rsid w:val="4DEF1D73"/>
    <w:rsid w:val="4DF61D98"/>
    <w:rsid w:val="4E536210"/>
    <w:rsid w:val="4E8C71ED"/>
    <w:rsid w:val="4EF34216"/>
    <w:rsid w:val="4F10078B"/>
    <w:rsid w:val="4FFD0B1F"/>
    <w:rsid w:val="503A3817"/>
    <w:rsid w:val="50677EF4"/>
    <w:rsid w:val="50982285"/>
    <w:rsid w:val="50C4704C"/>
    <w:rsid w:val="51C63CAB"/>
    <w:rsid w:val="51E942BF"/>
    <w:rsid w:val="52C56ECE"/>
    <w:rsid w:val="52D92ACB"/>
    <w:rsid w:val="52E97AF8"/>
    <w:rsid w:val="52EB2943"/>
    <w:rsid w:val="53B4776F"/>
    <w:rsid w:val="54093788"/>
    <w:rsid w:val="541A71CC"/>
    <w:rsid w:val="546D0516"/>
    <w:rsid w:val="54F54455"/>
    <w:rsid w:val="55506FD7"/>
    <w:rsid w:val="55764293"/>
    <w:rsid w:val="55EA07D1"/>
    <w:rsid w:val="568330AC"/>
    <w:rsid w:val="570B1838"/>
    <w:rsid w:val="57945CD1"/>
    <w:rsid w:val="579831C5"/>
    <w:rsid w:val="57FD1EBD"/>
    <w:rsid w:val="581B0D32"/>
    <w:rsid w:val="585D2567"/>
    <w:rsid w:val="586070ED"/>
    <w:rsid w:val="589B0215"/>
    <w:rsid w:val="59801541"/>
    <w:rsid w:val="599211F9"/>
    <w:rsid w:val="5A025174"/>
    <w:rsid w:val="5AB8507A"/>
    <w:rsid w:val="5B1507CD"/>
    <w:rsid w:val="5C003417"/>
    <w:rsid w:val="5CA67F0E"/>
    <w:rsid w:val="5CAA6226"/>
    <w:rsid w:val="5CB70DE5"/>
    <w:rsid w:val="5CD92B33"/>
    <w:rsid w:val="5CF43A25"/>
    <w:rsid w:val="5D742A91"/>
    <w:rsid w:val="5D7B558C"/>
    <w:rsid w:val="5DB7243A"/>
    <w:rsid w:val="5E2603C6"/>
    <w:rsid w:val="6004578A"/>
    <w:rsid w:val="606C77EB"/>
    <w:rsid w:val="60FB4A53"/>
    <w:rsid w:val="62807AFE"/>
    <w:rsid w:val="63586547"/>
    <w:rsid w:val="64364F21"/>
    <w:rsid w:val="6467598A"/>
    <w:rsid w:val="64AA1DAB"/>
    <w:rsid w:val="64E17DD6"/>
    <w:rsid w:val="666C7BDF"/>
    <w:rsid w:val="669369B5"/>
    <w:rsid w:val="6777074A"/>
    <w:rsid w:val="68B04D43"/>
    <w:rsid w:val="68D75A1D"/>
    <w:rsid w:val="693A6327"/>
    <w:rsid w:val="69786522"/>
    <w:rsid w:val="6BDFAB0A"/>
    <w:rsid w:val="6BE75F37"/>
    <w:rsid w:val="6C790155"/>
    <w:rsid w:val="6C89785F"/>
    <w:rsid w:val="6C9F3448"/>
    <w:rsid w:val="6E6957BE"/>
    <w:rsid w:val="6EEA3447"/>
    <w:rsid w:val="6F3422D1"/>
    <w:rsid w:val="6F3631A1"/>
    <w:rsid w:val="6F742218"/>
    <w:rsid w:val="6F7FE37A"/>
    <w:rsid w:val="6FE7054D"/>
    <w:rsid w:val="6FE969BF"/>
    <w:rsid w:val="6FFD67CF"/>
    <w:rsid w:val="730B244E"/>
    <w:rsid w:val="73CC0EE6"/>
    <w:rsid w:val="74D70DF7"/>
    <w:rsid w:val="76B51888"/>
    <w:rsid w:val="76B6276A"/>
    <w:rsid w:val="773FE678"/>
    <w:rsid w:val="77A52F9E"/>
    <w:rsid w:val="7860333A"/>
    <w:rsid w:val="789F3DA6"/>
    <w:rsid w:val="78A52377"/>
    <w:rsid w:val="791B2483"/>
    <w:rsid w:val="7A304654"/>
    <w:rsid w:val="7A583388"/>
    <w:rsid w:val="7B5B7497"/>
    <w:rsid w:val="7BB5399C"/>
    <w:rsid w:val="7C97D028"/>
    <w:rsid w:val="7D2557AC"/>
    <w:rsid w:val="7DD01A18"/>
    <w:rsid w:val="7E0B2F48"/>
    <w:rsid w:val="7E2A0FD2"/>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Lines/>
      <w:spacing w:before="260" w:after="260" w:line="413" w:lineRule="auto"/>
      <w:outlineLvl w:val="2"/>
    </w:pPr>
    <w:rPr>
      <w:b/>
      <w:sz w:val="32"/>
    </w:rPr>
  </w:style>
  <w:style w:type="paragraph" w:styleId="5">
    <w:name w:val="heading 4"/>
    <w:basedOn w:val="4"/>
    <w:next w:val="1"/>
    <w:qFormat/>
    <w:uiPriority w:val="0"/>
    <w:pPr>
      <w:spacing w:before="280" w:after="290" w:line="372" w:lineRule="auto"/>
      <w:outlineLvl w:val="3"/>
    </w:pPr>
    <w:rPr>
      <w:rFonts w:ascii="Arial" w:hAnsi="Arial" w:eastAsia="黑体"/>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40"/>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kern w:val="28"/>
      <w:sz w:val="36"/>
      <w:lang w:eastAsia="en-US"/>
    </w:rPr>
  </w:style>
  <w:style w:type="paragraph" w:styleId="55">
    <w:name w:val="annotation subject"/>
    <w:basedOn w:val="19"/>
    <w:next w:val="19"/>
    <w:link w:val="77"/>
    <w:qFormat/>
    <w:uiPriority w:val="0"/>
    <w:pPr>
      <w:adjustRightInd/>
      <w:spacing w:line="240" w:lineRule="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标书正文1"/>
    <w:basedOn w:val="1"/>
    <w:qFormat/>
    <w:uiPriority w:val="0"/>
    <w:pPr>
      <w:spacing w:line="520" w:lineRule="exact"/>
      <w:ind w:firstLine="640" w:firstLineChars="200"/>
    </w:pPr>
  </w:style>
  <w:style w:type="character" w:customStyle="1" w:styleId="70">
    <w:name w:val="标题 2 字符"/>
    <w:link w:val="2"/>
    <w:qFormat/>
    <w:uiPriority w:val="0"/>
    <w:rPr>
      <w:rFonts w:ascii="Arial" w:hAnsi="Arial" w:eastAsia="黑体"/>
      <w:b/>
      <w:kern w:val="2"/>
      <w:sz w:val="32"/>
    </w:rPr>
  </w:style>
  <w:style w:type="character" w:customStyle="1" w:styleId="71">
    <w:name w:val="标题 3 字符"/>
    <w:link w:val="4"/>
    <w:qFormat/>
    <w:uiPriority w:val="0"/>
    <w:rPr>
      <w:rFonts w:eastAsia="宋体"/>
      <w:b/>
      <w:kern w:val="2"/>
      <w:sz w:val="32"/>
      <w:lang w:val="en-US" w:eastAsia="zh-CN"/>
    </w:rPr>
  </w:style>
  <w:style w:type="character" w:customStyle="1" w:styleId="72">
    <w:name w:val="批注文字 字符"/>
    <w:link w:val="19"/>
    <w:qFormat/>
    <w:uiPriority w:val="0"/>
    <w:rPr>
      <w:sz w:val="24"/>
    </w:rPr>
  </w:style>
  <w:style w:type="character" w:customStyle="1" w:styleId="73">
    <w:name w:val="正文文本缩进 字符"/>
    <w:link w:val="23"/>
    <w:qFormat/>
    <w:uiPriority w:val="0"/>
    <w:rPr>
      <w:kern w:val="2"/>
      <w:sz w:val="44"/>
    </w:rPr>
  </w:style>
  <w:style w:type="character" w:customStyle="1" w:styleId="74">
    <w:name w:val="日期 字符"/>
    <w:link w:val="32"/>
    <w:qFormat/>
    <w:uiPriority w:val="0"/>
    <w:rPr>
      <w:kern w:val="2"/>
      <w:sz w:val="28"/>
    </w:rPr>
  </w:style>
  <w:style w:type="character" w:customStyle="1" w:styleId="75">
    <w:name w:val="正文文本缩进 2 字符"/>
    <w:link w:val="33"/>
    <w:qFormat/>
    <w:uiPriority w:val="0"/>
    <w:rPr>
      <w:kern w:val="2"/>
      <w:sz w:val="28"/>
    </w:rPr>
  </w:style>
  <w:style w:type="character" w:customStyle="1" w:styleId="76">
    <w:name w:val="脚注文本 字符"/>
    <w:link w:val="40"/>
    <w:qFormat/>
    <w:uiPriority w:val="0"/>
    <w:rPr>
      <w:kern w:val="2"/>
      <w:sz w:val="18"/>
    </w:rPr>
  </w:style>
  <w:style w:type="character" w:customStyle="1" w:styleId="77">
    <w:name w:val="批注主题 字符"/>
    <w:link w:val="55"/>
    <w:qFormat/>
    <w:uiPriority w:val="0"/>
  </w:style>
  <w:style w:type="character" w:customStyle="1" w:styleId="78">
    <w:name w:val="正文文本首行缩进 2 字符"/>
    <w:link w:val="57"/>
    <w:qFormat/>
    <w:uiPriority w:val="0"/>
  </w:style>
  <w:style w:type="character" w:customStyle="1" w:styleId="79">
    <w:name w:val="v151"/>
    <w:qFormat/>
    <w:uiPriority w:val="0"/>
    <w:rPr>
      <w:sz w:val="18"/>
    </w:rPr>
  </w:style>
  <w:style w:type="character" w:customStyle="1" w:styleId="80">
    <w:name w:val="Char Char7"/>
    <w:qFormat/>
    <w:uiPriority w:val="0"/>
    <w:rPr>
      <w:rFonts w:ascii="宋体" w:hAnsi="宋体" w:eastAsia="宋体"/>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content-white1"/>
    <w:qFormat/>
    <w:uiPriority w:val="0"/>
    <w:rPr>
      <w:rFonts w:ascii="_x000B__x000C_" w:hAnsi="_x000B__x000C_"/>
      <w:color w:val="auto"/>
      <w:sz w:val="18"/>
      <w:u w:val="none"/>
    </w:rPr>
  </w:style>
  <w:style w:type="character" w:customStyle="1" w:styleId="85">
    <w:name w:val="正文 + 三号 Char"/>
    <w:qFormat/>
    <w:uiPriority w:val="0"/>
    <w:rPr>
      <w:rFonts w:eastAsia="宋体"/>
      <w:kern w:val="2"/>
      <w:sz w:val="21"/>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Char Char3"/>
    <w:qFormat/>
    <w:uiPriority w:val="0"/>
    <w:rPr>
      <w:rFonts w:eastAsia="宋体"/>
      <w:kern w:val="2"/>
      <w:sz w:val="18"/>
      <w:lang w:val="en-US" w:eastAsia="zh-CN"/>
    </w:rPr>
  </w:style>
  <w:style w:type="character" w:customStyle="1" w:styleId="88">
    <w:name w:val="Char Char4"/>
    <w:qFormat/>
    <w:uiPriority w:val="0"/>
    <w:rPr>
      <w:rFonts w:eastAsia="宋体"/>
      <w:b/>
      <w:kern w:val="2"/>
      <w:sz w:val="21"/>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5"/>
    <w:qFormat/>
    <w:uiPriority w:val="0"/>
    <w:rPr>
      <w:rFonts w:ascii="Arial" w:hAnsi="Arial" w:eastAsia="宋体"/>
      <w:b/>
      <w:kern w:val="28"/>
      <w:sz w:val="36"/>
      <w:lang w:val="en-US" w:eastAsia="en-US"/>
    </w:rPr>
  </w:style>
  <w:style w:type="character" w:customStyle="1" w:styleId="91">
    <w:name w:val="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line="360" w:lineRule="auto"/>
      <w:ind w:firstLine="200" w:firstLineChars="200"/>
    </w:pPr>
    <w:rPr>
      <w:spacing w:val="2"/>
      <w:sz w:val="24"/>
    </w:rPr>
  </w:style>
  <w:style w:type="paragraph" w:customStyle="1" w:styleId="109">
    <w:name w:val="标题3——2"/>
    <w:basedOn w:val="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pPr>
    <w:rPr>
      <w:kern w:val="0"/>
      <w:sz w:val="18"/>
    </w:rPr>
  </w:style>
  <w:style w:type="paragraph" w:customStyle="1" w:styleId="111">
    <w:name w:val="Title - Revision"/>
    <w:basedOn w:val="54"/>
    <w:qFormat/>
    <w:uiPriority w:val="0"/>
    <w:pPr>
      <w:spacing w:before="72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4">
    <w:name w:val="二级条标题"/>
    <w:basedOn w:val="115"/>
    <w:qFormat/>
    <w:uiPriority w:val="0"/>
    <w:pPr>
      <w:ind w:left="840"/>
      <w:outlineLvl w:val="3"/>
    </w:pPr>
  </w:style>
  <w:style w:type="paragraph" w:customStyle="1" w:styleId="115">
    <w:name w:val="一级条标题"/>
    <w:basedOn w:val="116"/>
    <w:qFormat/>
    <w:uiPriority w:val="0"/>
    <w:pPr>
      <w:numPr>
        <w:numId w:val="0"/>
      </w:numPr>
      <w:spacing w:before="0" w:beforeLines="0" w:after="0" w:afterLines="0"/>
      <w:ind w:left="525"/>
      <w:outlineLvl w:val="2"/>
    </w:pPr>
    <w:rPr>
      <w:sz w:val="21"/>
    </w:rPr>
  </w:style>
  <w:style w:type="paragraph" w:customStyle="1" w:styleId="116">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2">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7">
    <w:name w:val="Char Char14 Char Char"/>
    <w:basedOn w:val="1"/>
    <w:qFormat/>
    <w:uiPriority w:val="0"/>
    <w:rPr>
      <w:sz w:val="21"/>
      <w:szCs w:val="24"/>
    </w:rPr>
  </w:style>
  <w:style w:type="paragraph" w:customStyle="1" w:styleId="128">
    <w:name w:val="Char Char Char Char Char"/>
    <w:basedOn w:val="1"/>
    <w:qFormat/>
    <w:uiPriority w:val="0"/>
    <w:pPr>
      <w:tabs>
        <w:tab w:val="left" w:pos="425"/>
      </w:tabs>
      <w:ind w:left="1620" w:hanging="360"/>
    </w:pPr>
    <w:rPr>
      <w:rFonts w:ascii="Tahoma" w:hAnsi="Tahoma"/>
      <w:sz w:val="24"/>
    </w:rPr>
  </w:style>
  <w:style w:type="paragraph" w:customStyle="1" w:styleId="129">
    <w:name w:val="Char2 Char Char Char Char Char Char"/>
    <w:basedOn w:val="1"/>
    <w:qFormat/>
    <w:uiPriority w:val="0"/>
    <w:rPr>
      <w:rFonts w:ascii="仿宋_GB2312"/>
      <w:b/>
      <w:sz w:val="30"/>
    </w:rPr>
  </w:style>
  <w:style w:type="paragraph" w:customStyle="1" w:styleId="130">
    <w:name w:val="_Style 126"/>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5">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2"/>
    <w:qFormat/>
    <w:uiPriority w:val="0"/>
    <w:pPr>
      <w:suppressAutoHyphens/>
      <w:jc w:val="left"/>
    </w:pPr>
    <w:rPr>
      <w:rFonts w:ascii="Times New Roman" w:eastAsia="Times New Roman"/>
      <w:kern w:val="0"/>
      <w:sz w:val="24"/>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Char Char Char Char Char Char Char"/>
    <w:basedOn w:val="1"/>
    <w:qFormat/>
    <w:uiPriority w:val="0"/>
    <w:rPr>
      <w:rFonts w:ascii="Tahoma" w:hAnsi="Tahoma"/>
      <w:sz w:val="24"/>
    </w:rPr>
  </w:style>
  <w:style w:type="paragraph" w:customStyle="1" w:styleId="140">
    <w:name w:val="样式2"/>
    <w:basedOn w:val="5"/>
    <w:qFormat/>
    <w:uiPriority w:val="0"/>
    <w:pPr>
      <w:numPr>
        <w:ilvl w:val="0"/>
        <w:numId w:val="6"/>
      </w:numPr>
      <w:spacing w:before="560" w:line="400" w:lineRule="exact"/>
      <w:jc w:val="center"/>
      <w:outlineLvl w:val="0"/>
    </w:pPr>
    <w:rPr>
      <w:b w:val="0"/>
      <w:sz w:val="44"/>
    </w:rPr>
  </w:style>
  <w:style w:type="paragraph" w:customStyle="1" w:styleId="141">
    <w:name w:val="内容标题"/>
    <w:basedOn w:val="17"/>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1"/>
    <w:basedOn w:val="1"/>
    <w:qFormat/>
    <w:uiPriority w:val="0"/>
    <w:rPr>
      <w:rFonts w:ascii="宋体" w:hAnsi="Courier New"/>
      <w:sz w:val="21"/>
    </w:rPr>
  </w:style>
  <w:style w:type="paragraph" w:customStyle="1" w:styleId="144">
    <w:name w:val="列表项目"/>
    <w:basedOn w:val="1"/>
    <w:qFormat/>
    <w:uiPriority w:val="0"/>
    <w:pPr>
      <w:tabs>
        <w:tab w:val="left" w:pos="420"/>
      </w:tabs>
      <w:spacing w:line="288" w:lineRule="auto"/>
      <w:ind w:left="840" w:leftChars="200" w:hanging="420" w:hangingChars="200"/>
    </w:pPr>
    <w:rPr>
      <w:sz w:val="21"/>
    </w:rPr>
  </w:style>
  <w:style w:type="paragraph" w:customStyle="1" w:styleId="14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6">
    <w:name w:val="Char Char Char Char Char Char Char1"/>
    <w:basedOn w:val="17"/>
    <w:qFormat/>
    <w:uiPriority w:val="0"/>
    <w:rPr>
      <w:rFonts w:ascii="宋体" w:hAnsi="Tahoma"/>
    </w:rPr>
  </w:style>
  <w:style w:type="paragraph" w:customStyle="1" w:styleId="147">
    <w:name w:val="样式 标题 6第五层条 + 三号 段前: 0.5 行"/>
    <w:basedOn w:val="7"/>
    <w:qFormat/>
    <w:uiPriority w:val="0"/>
    <w:pPr>
      <w:widowControl/>
      <w:adjustRightInd/>
      <w:snapToGrid/>
      <w:spacing w:before="156" w:beforeLines="50"/>
      <w:jc w:val="left"/>
    </w:pPr>
    <w:rPr>
      <w:kern w:val="24"/>
      <w:sz w:val="28"/>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0">
    <w:name w:val="样式 行距: 1.5 倍行距1"/>
    <w:basedOn w:val="1"/>
    <w:qFormat/>
    <w:uiPriority w:val="0"/>
    <w:pPr>
      <w:snapToGrid w:val="0"/>
    </w:pPr>
    <w:rPr>
      <w:sz w:val="21"/>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00"/>
    <w:basedOn w:val="1"/>
    <w:qFormat/>
    <w:uiPriority w:val="0"/>
    <w:pPr>
      <w:autoSpaceDE w:val="0"/>
      <w:autoSpaceDN w:val="0"/>
      <w:adjustRightInd w:val="0"/>
      <w:jc w:val="left"/>
    </w:pPr>
    <w:rPr>
      <w:rFonts w:ascii="黑体" w:eastAsia="黑体"/>
      <w:b/>
      <w:kern w:val="0"/>
      <w:sz w:val="20"/>
    </w:rPr>
  </w:style>
  <w:style w:type="paragraph" w:customStyle="1" w:styleId="15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6">
    <w:name w:val="标准正文"/>
    <w:basedOn w:val="23"/>
    <w:qFormat/>
    <w:uiPriority w:val="0"/>
    <w:pPr>
      <w:spacing w:before="60" w:after="60" w:line="360" w:lineRule="auto"/>
      <w:ind w:left="0" w:firstLine="482"/>
    </w:pPr>
    <w:rPr>
      <w:rFonts w:ascii="Arial" w:hAnsi="Arial"/>
      <w:sz w:val="24"/>
    </w:rPr>
  </w:style>
  <w:style w:type="paragraph" w:customStyle="1" w:styleId="157">
    <w:name w:val="正文文本 21"/>
    <w:basedOn w:val="1"/>
    <w:qFormat/>
    <w:uiPriority w:val="0"/>
    <w:pPr>
      <w:adjustRightInd w:val="0"/>
      <w:spacing w:before="120" w:line="360" w:lineRule="auto"/>
      <w:ind w:firstLine="480"/>
    </w:pPr>
    <w:rPr>
      <w:sz w:val="24"/>
    </w:rPr>
  </w:style>
  <w:style w:type="paragraph" w:customStyle="1" w:styleId="158">
    <w:name w:val="样式1"/>
    <w:basedOn w:val="5"/>
    <w:qFormat/>
    <w:uiPriority w:val="0"/>
    <w:pPr>
      <w:tabs>
        <w:tab w:val="left" w:pos="720"/>
      </w:tabs>
      <w:spacing w:before="500" w:after="260" w:line="560" w:lineRule="atLeast"/>
      <w:ind w:left="420" w:hanging="420"/>
    </w:pPr>
  </w:style>
  <w:style w:type="paragraph" w:customStyle="1" w:styleId="159">
    <w:name w:val="正文4"/>
    <w:basedOn w:val="1"/>
    <w:qFormat/>
    <w:uiPriority w:val="0"/>
    <w:pPr>
      <w:tabs>
        <w:tab w:val="left" w:pos="1275"/>
      </w:tabs>
      <w:spacing w:before="60" w:after="60" w:line="360" w:lineRule="auto"/>
      <w:ind w:left="820" w:leftChars="400" w:hanging="705"/>
    </w:pPr>
    <w:rPr>
      <w:sz w:val="24"/>
    </w:rPr>
  </w:style>
  <w:style w:type="paragraph" w:customStyle="1" w:styleId="16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2">
    <w:name w:val="文本框样式1"/>
    <w:basedOn w:val="1"/>
    <w:qFormat/>
    <w:uiPriority w:val="0"/>
    <w:pPr>
      <w:adjustRightInd w:val="0"/>
      <w:snapToGrid w:val="0"/>
      <w:spacing w:before="60" w:line="180" w:lineRule="exact"/>
      <w:jc w:val="center"/>
    </w:pPr>
    <w:rPr>
      <w:sz w:val="21"/>
    </w:rPr>
  </w:style>
  <w:style w:type="paragraph" w:customStyle="1" w:styleId="163">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5">
    <w:name w:val="附录1"/>
    <w:basedOn w:val="1"/>
    <w:qFormat/>
    <w:uiPriority w:val="0"/>
    <w:pPr>
      <w:tabs>
        <w:tab w:val="left" w:pos="1304"/>
      </w:tabs>
      <w:ind w:left="425" w:hanging="425"/>
      <w:outlineLvl w:val="0"/>
    </w:pPr>
    <w:rPr>
      <w:rFonts w:ascii="黑体" w:hAnsi="黑体" w:eastAsia="黑体"/>
      <w:b/>
      <w:sz w:val="44"/>
    </w:rPr>
  </w:style>
  <w:style w:type="paragraph" w:customStyle="1" w:styleId="16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8">
    <w:name w:val="关键词"/>
    <w:basedOn w:val="1"/>
    <w:qFormat/>
    <w:uiPriority w:val="0"/>
    <w:pPr>
      <w:spacing w:line="360" w:lineRule="auto"/>
    </w:pPr>
    <w:rPr>
      <w:rFonts w:eastAsia="黑体"/>
      <w:sz w:val="20"/>
    </w:rPr>
  </w:style>
  <w:style w:type="paragraph" w:customStyle="1" w:styleId="169">
    <w:name w:val="Title - Date"/>
    <w:basedOn w:val="54"/>
    <w:qFormat/>
    <w:uiPriority w:val="0"/>
    <w:pPr>
      <w:spacing w:before="240" w:after="720"/>
    </w:pPr>
    <w:rPr>
      <w:sz w:val="28"/>
    </w:rPr>
  </w:style>
  <w:style w:type="paragraph" w:customStyle="1" w:styleId="17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1">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2">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5">
    <w:name w:val="Style Heading 3h3Heading 3 - oldLevel 3 HeadH3level_3PIM 3se..."/>
    <w:basedOn w:val="4"/>
    <w:qFormat/>
    <w:uiPriority w:val="0"/>
    <w:pPr>
      <w:numPr>
        <w:ilvl w:val="2"/>
        <w:numId w:val="9"/>
      </w:numPr>
      <w:tabs>
        <w:tab w:val="left" w:pos="709"/>
        <w:tab w:val="left" w:pos="1620"/>
      </w:tabs>
    </w:pPr>
  </w:style>
  <w:style w:type="paragraph" w:customStyle="1" w:styleId="176">
    <w:name w:val="样式4"/>
    <w:basedOn w:val="5"/>
    <w:qFormat/>
    <w:uiPriority w:val="0"/>
    <w:pPr>
      <w:adjustRightInd w:val="0"/>
    </w:pPr>
  </w:style>
  <w:style w:type="paragraph" w:customStyle="1" w:styleId="177">
    <w:name w:val="摘要"/>
    <w:basedOn w:val="1"/>
    <w:qFormat/>
    <w:uiPriority w:val="0"/>
    <w:pPr>
      <w:spacing w:line="360" w:lineRule="auto"/>
    </w:pPr>
    <w:rPr>
      <w:rFonts w:eastAsia="黑体"/>
      <w:sz w:val="20"/>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可研正文"/>
    <w:basedOn w:val="22"/>
    <w:qFormat/>
    <w:uiPriority w:val="0"/>
    <w:pPr>
      <w:adjustRightInd w:val="0"/>
      <w:snapToGrid w:val="0"/>
      <w:spacing w:line="440" w:lineRule="exact"/>
      <w:ind w:firstLine="567"/>
    </w:pPr>
    <w:rPr>
      <w:sz w:val="28"/>
    </w:rPr>
  </w:style>
  <w:style w:type="paragraph" w:customStyle="1" w:styleId="180">
    <w:name w:val="没有缩进（为图形使用）"/>
    <w:basedOn w:val="1"/>
    <w:qFormat/>
    <w:uiPriority w:val="0"/>
    <w:pPr>
      <w:spacing w:before="120" w:after="120" w:line="360" w:lineRule="auto"/>
    </w:pPr>
    <w:rPr>
      <w:sz w:val="24"/>
    </w:rPr>
  </w:style>
  <w:style w:type="paragraph" w:customStyle="1" w:styleId="181">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3">
    <w:name w:val="标书正文:  0.74 厘米"/>
    <w:basedOn w:val="1"/>
    <w:qFormat/>
    <w:uiPriority w:val="0"/>
    <w:pPr>
      <w:snapToGrid w:val="0"/>
      <w:spacing w:line="360" w:lineRule="auto"/>
      <w:ind w:firstLine="420"/>
    </w:pPr>
    <w:rPr>
      <w:sz w:val="24"/>
    </w:rPr>
  </w:style>
  <w:style w:type="paragraph" w:customStyle="1" w:styleId="184">
    <w:name w:val="样式 正文缩进正文（首行缩进两字）表正文正文非缩进特点标题4段1 + 首行缩进:  2 字符"/>
    <w:basedOn w:val="15"/>
    <w:qFormat/>
    <w:uiPriority w:val="0"/>
    <w:pPr>
      <w:ind w:firstLine="480" w:firstLineChars="200"/>
    </w:pPr>
  </w:style>
  <w:style w:type="paragraph" w:customStyle="1" w:styleId="18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6">
    <w:name w:val="Char1 Char Char Char"/>
    <w:basedOn w:val="1"/>
    <w:qFormat/>
    <w:uiPriority w:val="0"/>
    <w:rPr>
      <w:rFonts w:ascii="Tahoma" w:hAnsi="Tahoma"/>
      <w:sz w:val="24"/>
    </w:rPr>
  </w:style>
  <w:style w:type="paragraph" w:customStyle="1" w:styleId="18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8">
    <w:name w:val="文章正文"/>
    <w:basedOn w:val="1"/>
    <w:qFormat/>
    <w:uiPriority w:val="0"/>
    <w:pPr>
      <w:ind w:firstLine="560" w:firstLineChars="200"/>
    </w:pPr>
    <w:rPr>
      <w:rFonts w:ascii="仿宋_GB2312" w:hAnsi="宋体" w:eastAsia="仿宋_GB2312"/>
      <w:color w:val="000000"/>
    </w:rPr>
  </w:style>
  <w:style w:type="paragraph" w:customStyle="1" w:styleId="189">
    <w:name w:val="样式 宋体 五号 两端对齐 行距: 单倍行距"/>
    <w:basedOn w:val="1"/>
    <w:qFormat/>
    <w:uiPriority w:val="0"/>
    <w:pPr>
      <w:adjustRightInd w:val="0"/>
    </w:pPr>
    <w:rPr>
      <w:rFonts w:ascii="宋体" w:hAnsi="宋体"/>
      <w:kern w:val="0"/>
      <w:sz w:val="21"/>
    </w:rPr>
  </w:style>
  <w:style w:type="paragraph" w:customStyle="1" w:styleId="190">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1">
    <w:name w:val="Char Char1 Char"/>
    <w:basedOn w:val="1"/>
    <w:qFormat/>
    <w:uiPriority w:val="0"/>
    <w:rPr>
      <w:rFonts w:ascii="Tahoma" w:hAnsi="Tahoma"/>
      <w:sz w:val="24"/>
      <w:szCs w:val="24"/>
    </w:rPr>
  </w:style>
  <w:style w:type="paragraph" w:customStyle="1" w:styleId="192">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3">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4">
    <w:name w:val="Char"/>
    <w:basedOn w:val="1"/>
    <w:qFormat/>
    <w:uiPriority w:val="0"/>
    <w:pPr>
      <w:spacing w:line="240" w:lineRule="atLeast"/>
      <w:ind w:left="420" w:firstLine="420"/>
    </w:pPr>
    <w:rPr>
      <w:kern w:val="0"/>
      <w:sz w:val="21"/>
    </w:rPr>
  </w:style>
  <w:style w:type="paragraph" w:customStyle="1" w:styleId="195">
    <w:name w:val="_"/>
    <w:basedOn w:val="1"/>
    <w:qFormat/>
    <w:uiPriority w:val="0"/>
    <w:pPr>
      <w:adjustRightInd w:val="0"/>
      <w:spacing w:line="360" w:lineRule="auto"/>
      <w:ind w:left="480" w:firstLine="200" w:firstLineChars="200"/>
    </w:pPr>
    <w:rPr>
      <w:kern w:val="0"/>
      <w:sz w:val="24"/>
    </w:rPr>
  </w:style>
  <w:style w:type="paragraph" w:customStyle="1" w:styleId="196">
    <w:name w:val="Char1 Char Char Char1"/>
    <w:basedOn w:val="1"/>
    <w:qFormat/>
    <w:uiPriority w:val="0"/>
    <w:rPr>
      <w:rFonts w:ascii="Tahoma" w:hAnsi="Tahoma"/>
      <w:sz w:val="30"/>
    </w:rPr>
  </w:style>
  <w:style w:type="paragraph" w:customStyle="1" w:styleId="197">
    <w:name w:val="表头文本"/>
    <w:qFormat/>
    <w:uiPriority w:val="0"/>
    <w:pPr>
      <w:jc w:val="center"/>
    </w:pPr>
    <w:rPr>
      <w:rFonts w:ascii="Arial" w:hAnsi="Arial" w:eastAsia="宋体" w:cs="Times New Roman"/>
      <w:b/>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Char Char Char"/>
    <w:basedOn w:val="1"/>
    <w:qFormat/>
    <w:uiPriority w:val="0"/>
    <w:rPr>
      <w:rFonts w:ascii="Tahoma" w:hAnsi="Tahoma"/>
      <w:sz w:val="24"/>
    </w:rPr>
  </w:style>
  <w:style w:type="paragraph" w:customStyle="1" w:styleId="20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3">
    <w:name w:val="默认段落字体 Para Char Char Char Char Char Char Char"/>
    <w:basedOn w:val="1"/>
    <w:qFormat/>
    <w:uiPriority w:val="0"/>
    <w:rPr>
      <w:rFonts w:ascii="Tahoma" w:hAnsi="Tahoma"/>
      <w:sz w:val="24"/>
    </w:rPr>
  </w:style>
  <w:style w:type="paragraph" w:customStyle="1" w:styleId="204">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首行缩进"/>
    <w:basedOn w:val="1"/>
    <w:qFormat/>
    <w:uiPriority w:val="0"/>
    <w:pPr>
      <w:numPr>
        <w:ilvl w:val="0"/>
        <w:numId w:val="11"/>
      </w:numPr>
      <w:spacing w:line="360" w:lineRule="auto"/>
    </w:pPr>
    <w:rPr>
      <w:rFonts w:eastAsia="仿宋_GB2312"/>
    </w:rPr>
  </w:style>
  <w:style w:type="paragraph" w:customStyle="1" w:styleId="207">
    <w:name w:val="正文字缩2字"/>
    <w:basedOn w:val="1"/>
    <w:qFormat/>
    <w:uiPriority w:val="0"/>
    <w:pPr>
      <w:spacing w:before="60" w:after="60" w:line="360" w:lineRule="auto"/>
      <w:ind w:left="200" w:leftChars="200" w:firstLine="200" w:firstLineChars="200"/>
    </w:pPr>
    <w:rPr>
      <w:sz w:val="24"/>
    </w:rPr>
  </w:style>
  <w:style w:type="paragraph" w:customStyle="1" w:styleId="208">
    <w:name w:val="正文表格"/>
    <w:basedOn w:val="1"/>
    <w:qFormat/>
    <w:uiPriority w:val="0"/>
    <w:pPr>
      <w:adjustRightInd w:val="0"/>
      <w:spacing w:before="40" w:after="40"/>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表格内文字"/>
    <w:basedOn w:val="30"/>
    <w:qFormat/>
    <w:uiPriority w:val="0"/>
    <w:pPr>
      <w:adjustRightInd w:val="0"/>
    </w:pPr>
    <w:rPr>
      <w:color w:val="000000"/>
      <w:lang w:val="en-GB"/>
    </w:rPr>
  </w:style>
  <w:style w:type="paragraph" w:customStyle="1" w:styleId="211">
    <w:name w:val="正文文本缩进 21"/>
    <w:basedOn w:val="1"/>
    <w:qFormat/>
    <w:uiPriority w:val="0"/>
    <w:pPr>
      <w:adjustRightInd w:val="0"/>
      <w:spacing w:before="120"/>
      <w:ind w:firstLine="420"/>
    </w:pPr>
    <w:rPr>
      <w:sz w:val="24"/>
    </w:rPr>
  </w:style>
  <w:style w:type="paragraph" w:customStyle="1" w:styleId="212">
    <w:name w:val="标题无"/>
    <w:basedOn w:val="1"/>
    <w:qFormat/>
    <w:uiPriority w:val="0"/>
    <w:pPr>
      <w:spacing w:line="360" w:lineRule="auto"/>
    </w:pPr>
    <w:rPr>
      <w:sz w:val="24"/>
    </w:rPr>
  </w:style>
  <w:style w:type="paragraph" w:customStyle="1" w:styleId="213">
    <w:name w:val="af"/>
    <w:basedOn w:val="1"/>
    <w:qFormat/>
    <w:uiPriority w:val="0"/>
    <w:pPr>
      <w:widowControl/>
      <w:spacing w:line="300" w:lineRule="atLeast"/>
      <w:jc w:val="left"/>
    </w:pPr>
    <w:rPr>
      <w:rFonts w:ascii="宋体" w:hAns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6">
    <w:name w:val="正文（首行不缩进）"/>
    <w:basedOn w:val="1"/>
    <w:qFormat/>
    <w:uiPriority w:val="0"/>
    <w:pPr>
      <w:autoSpaceDE w:val="0"/>
      <w:autoSpaceDN w:val="0"/>
      <w:adjustRightInd w:val="0"/>
      <w:spacing w:line="360" w:lineRule="auto"/>
      <w:jc w:val="left"/>
    </w:pPr>
    <w:rPr>
      <w:kern w:val="0"/>
      <w:sz w:val="21"/>
    </w:rPr>
  </w:style>
  <w:style w:type="paragraph" w:customStyle="1" w:styleId="217">
    <w:name w:val="正文1"/>
    <w:basedOn w:val="1"/>
    <w:qFormat/>
    <w:uiPriority w:val="0"/>
    <w:pPr>
      <w:spacing w:line="300" w:lineRule="auto"/>
      <w:ind w:firstLine="200" w:firstLineChars="200"/>
    </w:pPr>
    <w:rPr>
      <w:sz w:val="24"/>
    </w:rPr>
  </w:style>
  <w:style w:type="paragraph" w:customStyle="1" w:styleId="218">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20">
    <w:name w:val="表头样式"/>
    <w:basedOn w:val="1"/>
    <w:qFormat/>
    <w:uiPriority w:val="0"/>
    <w:pPr>
      <w:autoSpaceDE w:val="0"/>
      <w:autoSpaceDN w:val="0"/>
      <w:adjustRightInd w:val="0"/>
      <w:spacing w:line="360" w:lineRule="auto"/>
      <w:jc w:val="left"/>
    </w:pPr>
    <w:rPr>
      <w:b/>
      <w:kern w:val="0"/>
      <w:sz w:val="21"/>
    </w:rPr>
  </w:style>
  <w:style w:type="paragraph" w:customStyle="1" w:styleId="221">
    <w:name w:val="图片文字"/>
    <w:basedOn w:val="1"/>
    <w:qFormat/>
    <w:uiPriority w:val="0"/>
    <w:pPr>
      <w:spacing w:line="240" w:lineRule="atLeast"/>
      <w:jc w:val="center"/>
    </w:pPr>
    <w:rPr>
      <w:sz w:val="21"/>
    </w:rPr>
  </w:style>
  <w:style w:type="paragraph" w:customStyle="1" w:styleId="222">
    <w:name w:val="xl23"/>
    <w:basedOn w:val="1"/>
    <w:qFormat/>
    <w:uiPriority w:val="0"/>
    <w:pPr>
      <w:widowControl/>
      <w:spacing w:before="100" w:beforeAutospacing="1" w:after="100" w:afterAutospacing="1" w:line="360" w:lineRule="auto"/>
    </w:pPr>
    <w:rPr>
      <w:kern w:val="0"/>
      <w:sz w:val="24"/>
    </w:rPr>
  </w:style>
  <w:style w:type="paragraph" w:customStyle="1" w:styleId="223">
    <w:name w:val="附录3"/>
    <w:basedOn w:val="1"/>
    <w:qFormat/>
    <w:uiPriority w:val="0"/>
    <w:pPr>
      <w:tabs>
        <w:tab w:val="left" w:pos="851"/>
      </w:tabs>
      <w:ind w:left="425" w:hanging="425"/>
      <w:outlineLvl w:val="2"/>
    </w:pPr>
    <w:rPr>
      <w:rFonts w:eastAsia="黑体"/>
      <w:b/>
      <w:sz w:val="32"/>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首行缩进 1"/>
    <w:basedOn w:val="1"/>
    <w:qFormat/>
    <w:uiPriority w:val="0"/>
    <w:pPr>
      <w:spacing w:after="120" w:line="360" w:lineRule="auto"/>
      <w:ind w:firstLine="200" w:firstLineChars="200"/>
    </w:pPr>
    <w:rPr>
      <w:sz w:val="24"/>
    </w:rPr>
  </w:style>
  <w:style w:type="paragraph" w:customStyle="1" w:styleId="226">
    <w:name w:val="Char11"/>
    <w:basedOn w:val="1"/>
    <w:qFormat/>
    <w:uiPriority w:val="0"/>
    <w:pPr>
      <w:spacing w:line="240" w:lineRule="atLeast"/>
      <w:ind w:left="420" w:firstLine="420"/>
    </w:pPr>
    <w:rPr>
      <w:kern w:val="0"/>
      <w:sz w:val="21"/>
    </w:rPr>
  </w:style>
  <w:style w:type="paragraph" w:customStyle="1" w:styleId="22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1">
    <w:name w:val="Char1"/>
    <w:basedOn w:val="1"/>
    <w:qFormat/>
    <w:uiPriority w:val="0"/>
    <w:rPr>
      <w:sz w:val="21"/>
    </w:rPr>
  </w:style>
  <w:style w:type="paragraph" w:customStyle="1" w:styleId="232">
    <w:name w:val="Note"/>
    <w:basedOn w:val="1"/>
    <w:qFormat/>
    <w:uiPriority w:val="0"/>
    <w:pPr>
      <w:pBdr>
        <w:top w:val="single" w:color="auto" w:sz="12" w:space="3"/>
        <w:bottom w:val="single" w:color="auto" w:sz="12" w:space="3"/>
      </w:pBdr>
      <w:spacing w:line="360" w:lineRule="auto"/>
    </w:pPr>
    <w:rPr>
      <w:sz w:val="24"/>
    </w:r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8">
    <w:name w:val="图例"/>
    <w:basedOn w:val="1"/>
    <w:qFormat/>
    <w:uiPriority w:val="0"/>
    <w:pPr>
      <w:spacing w:before="120" w:after="120" w:line="360" w:lineRule="auto"/>
      <w:jc w:val="center"/>
    </w:pPr>
    <w:rPr>
      <w:rFonts w:eastAsia="仿宋_GB2312"/>
      <w:b/>
      <w:sz w:val="24"/>
    </w:rPr>
  </w:style>
  <w:style w:type="table" w:customStyle="1" w:styleId="239">
    <w:name w:val="Table Normal"/>
    <w:unhideWhenUsed/>
    <w:qFormat/>
    <w:uiPriority w:val="0"/>
    <w:tblPr>
      <w:tblCellMar>
        <w:top w:w="0" w:type="dxa"/>
        <w:left w:w="0" w:type="dxa"/>
        <w:bottom w:w="0" w:type="dxa"/>
        <w:right w:w="0" w:type="dxa"/>
      </w:tblCellMar>
    </w:tblPr>
  </w:style>
  <w:style w:type="character" w:customStyle="1" w:styleId="240">
    <w:name w:val="正文文本 字符"/>
    <w:basedOn w:val="60"/>
    <w:link w:val="22"/>
    <w:qFormat/>
    <w:uiPriority w:val="0"/>
    <w:rPr>
      <w:rFonts w:ascii="仿宋_GB2312" w:eastAsia="仿宋_GB2312"/>
      <w:kern w:val="2"/>
      <w:sz w:val="32"/>
    </w:rPr>
  </w:style>
  <w:style w:type="character" w:customStyle="1" w:styleId="2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11668</Words>
  <Characters>12348</Characters>
  <Lines>312</Lines>
  <Paragraphs>147</Paragraphs>
  <TotalTime>1</TotalTime>
  <ScaleCrop>false</ScaleCrop>
  <LinksUpToDate>false</LinksUpToDate>
  <CharactersWithSpaces>13540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2024-01-16T14:36:00Z</dcterms:created>
  <cp:lastPrinted>2024-01-18T11:09:00Z</cp:lastPrinted>
  <dcterms:modified xsi:type="dcterms:W3CDTF">2025-08-19T02:36:32Z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2768D1B03F3B4937AEEEC78750F04DD8_13</vt:lpwstr>
  </property>
  <property fmtid="{D5CDD505-2E9C-101B-9397-08002B2CF9AE}" pid="4" name="KSOSaveFontToCloudKey">
    <vt:lpwstr>518781431_cloud</vt:lpwstr>
  </property>
  <property fmtid="{D5CDD505-2E9C-101B-9397-08002B2CF9AE}" pid="5" name="KSOTemplateDocerSaveRecord">
    <vt:lpwstr>eyJoZGlkIjoiOTcwNDcwZDQ4YmI2YmFhYmQ2OWNjNzEzZjU1YzhiZmEiLCJ1c2VySWQiOiIxNDQ5MDMxMzYwIn0=</vt:lpwstr>
  </property>
</Properties>
</file>