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96B" w:rsidRDefault="0037596B" w:rsidP="0037596B">
      <w:pPr>
        <w:spacing w:line="600" w:lineRule="exact"/>
        <w:rPr>
          <w:rFonts w:ascii="Times New Roman" w:eastAsia="仿宋_GB2312" w:hAnsi="Times New Roman"/>
          <w:sz w:val="32"/>
          <w:szCs w:val="32"/>
        </w:rPr>
      </w:pPr>
    </w:p>
    <w:p w:rsidR="0037596B" w:rsidRDefault="0037596B" w:rsidP="00FC4AEA">
      <w:pPr>
        <w:spacing w:afterLines="50" w:line="500" w:lineRule="exact"/>
        <w:jc w:val="center"/>
        <w:rPr>
          <w:rFonts w:ascii="楷体_GB2312" w:eastAsia="楷体_GB2312" w:hAnsi="楷体_GB2312" w:cs="楷体_GB2312"/>
          <w:bCs/>
          <w:sz w:val="28"/>
          <w:szCs w:val="28"/>
        </w:rPr>
      </w:pPr>
      <w:r>
        <w:rPr>
          <w:rFonts w:ascii="Times New Roman" w:eastAsia="华文中宋" w:hAnsi="Times New Roman" w:cs="华文中宋" w:hint="eastAsia"/>
          <w:b/>
          <w:sz w:val="36"/>
          <w:szCs w:val="36"/>
        </w:rPr>
        <w:t>玉米机械化收获减损技术指导意见</w:t>
      </w:r>
      <w:r>
        <w:rPr>
          <w:rFonts w:ascii="Times New Roman" w:eastAsia="华文中宋" w:hAnsi="Times New Roman" w:cs="华文中宋" w:hint="eastAsia"/>
          <w:b/>
          <w:sz w:val="36"/>
          <w:szCs w:val="36"/>
        </w:rPr>
        <w:br/>
      </w:r>
      <w:r>
        <w:rPr>
          <w:rFonts w:ascii="楷体_GB2312" w:eastAsia="楷体_GB2312" w:hAnsi="楷体_GB2312" w:cs="楷体_GB2312" w:hint="eastAsia"/>
          <w:bCs/>
          <w:sz w:val="28"/>
          <w:szCs w:val="28"/>
        </w:rPr>
        <w:t>(2021年5月修订）</w:t>
      </w:r>
    </w:p>
    <w:p w:rsidR="0037596B" w:rsidRDefault="0037596B" w:rsidP="00FC4AEA">
      <w:pPr>
        <w:adjustRightInd w:val="0"/>
        <w:snapToGrid w:val="0"/>
        <w:spacing w:afterLines="50"/>
        <w:jc w:val="center"/>
        <w:rPr>
          <w:rFonts w:ascii="Times New Roman" w:eastAsia="华文中宋" w:hAnsi="Times New Roman" w:cs="华文中宋"/>
          <w:b/>
          <w:sz w:val="36"/>
          <w:szCs w:val="36"/>
        </w:rPr>
      </w:pPr>
      <w:r>
        <w:rPr>
          <w:rFonts w:ascii="楷体_GB2312" w:eastAsia="楷体_GB2312" w:hAnsi="楷体_GB2312" w:cs="楷体_GB2312" w:hint="eastAsia"/>
          <w:bCs/>
          <w:sz w:val="28"/>
          <w:szCs w:val="28"/>
        </w:rPr>
        <w:t>农业农村部农业机械化管理司</w:t>
      </w:r>
      <w:r>
        <w:rPr>
          <w:rFonts w:ascii="楷体_GB2312" w:eastAsia="楷体_GB2312" w:hAnsi="楷体_GB2312" w:cs="楷体_GB2312" w:hint="eastAsia"/>
          <w:bCs/>
          <w:sz w:val="28"/>
          <w:szCs w:val="28"/>
        </w:rPr>
        <w:br/>
        <w:t>农业农村部农业机械化总站</w:t>
      </w:r>
      <w:r>
        <w:rPr>
          <w:rFonts w:ascii="楷体_GB2312" w:eastAsia="楷体_GB2312" w:hAnsi="楷体_GB2312" w:cs="楷体_GB2312" w:hint="eastAsia"/>
          <w:bCs/>
          <w:sz w:val="28"/>
          <w:szCs w:val="28"/>
        </w:rPr>
        <w:br/>
        <w:t>农业农村部农作物生产全程机械化推进专家指导组</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本技术指导意见适用于玉米机械化摘穗</w:t>
      </w:r>
      <w:r>
        <w:rPr>
          <w:rFonts w:ascii="Times New Roman" w:eastAsia="仿宋_GB2312" w:hAnsi="Times New Roman"/>
          <w:sz w:val="32"/>
          <w:szCs w:val="32"/>
        </w:rPr>
        <w:t>/</w:t>
      </w:r>
      <w:r>
        <w:rPr>
          <w:rFonts w:ascii="Times New Roman" w:eastAsia="仿宋_GB2312" w:hAnsi="Times New Roman" w:hint="eastAsia"/>
          <w:sz w:val="32"/>
          <w:szCs w:val="32"/>
        </w:rPr>
        <w:t>籽粒收获作业。在一定区域内，玉米品种及种植模式、行距应尽量规范一致，作物及地块条件适于机械化收获。应选择与作物种植行距、成熟期、适宜收获方式对应的</w:t>
      </w:r>
      <w:hyperlink r:id="rId6" w:tgtFrame="_blank" w:tooltip="玉米收割机" w:history="1">
        <w:r>
          <w:rPr>
            <w:rFonts w:ascii="Times New Roman" w:eastAsia="仿宋_GB2312" w:hAnsi="Times New Roman" w:hint="eastAsia"/>
            <w:sz w:val="32"/>
            <w:szCs w:val="32"/>
          </w:rPr>
          <w:t>玉米收获机</w:t>
        </w:r>
      </w:hyperlink>
      <w:r>
        <w:rPr>
          <w:rFonts w:ascii="Times New Roman" w:eastAsia="仿宋_GB2312" w:hAnsi="Times New Roman" w:hint="eastAsia"/>
          <w:sz w:val="32"/>
          <w:szCs w:val="32"/>
        </w:rPr>
        <w:t>并提前检查调试好机具，确认适宜收获期，执行玉米机收作业质量标准和操作规程，努力减少收获环节的落穗、落粒、破碎等损失。</w:t>
      </w:r>
    </w:p>
    <w:p w:rsidR="0037596B" w:rsidRDefault="0037596B" w:rsidP="0037596B">
      <w:p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一、作业前机具准备</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玉米联合收获机作业前要做好充分的保养与调试工作，使机具达到最佳工作状态，预防和减少作业故障的发生，提高收获质量和效率。</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（一）机具检查</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作业季节前要依据产品使用说明书对玉米收获机进行一次全面检查与保养，确保机具在整个收获期能正常工作。经重新拆装、保养或修理后的玉米收获机要认真做好试运转，仔细检查行走、转向、割台、输送、剥皮、脱粒、清选、卸粮等机构的运转、传动、间隙等情况</w:t>
      </w:r>
      <w:r>
        <w:rPr>
          <w:rFonts w:ascii="Times New Roman" w:eastAsia="仿宋_GB2312" w:hAnsi="Times New Roman"/>
          <w:sz w:val="32"/>
          <w:szCs w:val="32"/>
        </w:rPr>
        <w:t>。</w:t>
      </w:r>
      <w:r>
        <w:rPr>
          <w:rFonts w:ascii="Times New Roman" w:eastAsia="仿宋_GB2312" w:hAnsi="Times New Roman" w:hint="eastAsia"/>
          <w:sz w:val="32"/>
          <w:szCs w:val="32"/>
        </w:rPr>
        <w:t>作业前，要检查各操纵装置功能是否正常；检查各部位轴承及轴上高速转动件</w:t>
      </w:r>
      <w:r>
        <w:rPr>
          <w:rFonts w:ascii="Times New Roman" w:eastAsia="仿宋_GB2312" w:hAnsi="Times New Roman"/>
          <w:sz w:val="32"/>
          <w:szCs w:val="32"/>
        </w:rPr>
        <w:t>（如茎秆切碎装置，中间轴）安装情况；离合器、制动踏板</w:t>
      </w:r>
      <w:r>
        <w:rPr>
          <w:rFonts w:ascii="Times New Roman" w:eastAsia="仿宋_GB2312" w:hAnsi="Times New Roman"/>
          <w:sz w:val="32"/>
          <w:szCs w:val="32"/>
        </w:rPr>
        <w:lastRenderedPageBreak/>
        <w:t>自由行程是否适当；燃油、发动机机油、润滑油、冷却</w:t>
      </w:r>
      <w:r>
        <w:rPr>
          <w:rFonts w:ascii="Times New Roman" w:eastAsia="仿宋_GB2312" w:hAnsi="Times New Roman" w:hint="eastAsia"/>
          <w:sz w:val="32"/>
          <w:szCs w:val="32"/>
        </w:rPr>
        <w:t>液是否适量；仪表盘各指示是否正常；轮胎气压是否正常；</w:t>
      </w:r>
      <w:r>
        <w:rPr>
          <w:rFonts w:ascii="Times New Roman" w:eastAsia="仿宋_GB2312" w:hAnsi="Times New Roman"/>
          <w:sz w:val="32"/>
          <w:szCs w:val="32"/>
        </w:rPr>
        <w:t>V</w:t>
      </w:r>
      <w:r>
        <w:rPr>
          <w:rFonts w:ascii="Times New Roman" w:eastAsia="仿宋_GB2312" w:hAnsi="Times New Roman"/>
          <w:sz w:val="32"/>
          <w:szCs w:val="32"/>
        </w:rPr>
        <w:t>型带、链条、张紧轮等是否松动或损伤，运动是否灵活可靠；</w:t>
      </w:r>
      <w:r>
        <w:rPr>
          <w:rFonts w:ascii="Times New Roman" w:eastAsia="仿宋_GB2312" w:hAnsi="Times New Roman" w:hint="eastAsia"/>
          <w:sz w:val="32"/>
          <w:szCs w:val="32"/>
        </w:rPr>
        <w:t>检查和调整各传动皮带的张紧度，防止作业时皮带打滑；重要部位螺栓、螺母有无松动；有无漏水、渗油等现象；所有防护罩是否紧固，检查窗、密封件、金属挡板等部位是否闭合、密封完全。备足备好田间作业常用工具、零配件、易损零配件等</w:t>
      </w:r>
      <w:r>
        <w:rPr>
          <w:rFonts w:ascii="Times New Roman" w:eastAsia="仿宋_GB2312" w:hAnsi="Times New Roman"/>
          <w:sz w:val="32"/>
          <w:szCs w:val="32"/>
        </w:rPr>
        <w:t>,</w:t>
      </w:r>
      <w:r>
        <w:rPr>
          <w:rFonts w:ascii="Times New Roman" w:eastAsia="仿宋_GB2312" w:hAnsi="Times New Roman"/>
          <w:sz w:val="32"/>
          <w:szCs w:val="32"/>
        </w:rPr>
        <w:t>以便出现故障时能够及时排除。</w:t>
      </w:r>
      <w:r>
        <w:rPr>
          <w:rFonts w:ascii="Times New Roman" w:eastAsia="仿宋_GB2312" w:hAnsi="Times New Roman" w:hint="eastAsia"/>
          <w:sz w:val="32"/>
          <w:szCs w:val="32"/>
        </w:rPr>
        <w:t>进行空载试运转，检查液压系统工作情况，液压管路和液压件的密封情况；检查轴承是否过热及皮带、链条的传动情况，以及各连接部件的紧固情况。</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（二）试收</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正式收获前，选择有代表性的地块进行试收，对机器调试后的技术状态进行一次全面的现场检查，根据实际的作业效果和农户要求进行必要调整。首先应根据种植行距选择匹配的收获机割台，种植行距与割台割行中心之间的差别在±</w:t>
      </w:r>
      <w:r>
        <w:rPr>
          <w:rFonts w:ascii="Times New Roman" w:eastAsia="仿宋_GB2312" w:hAnsi="Times New Roman" w:hint="eastAsia"/>
          <w:sz w:val="32"/>
          <w:szCs w:val="32"/>
        </w:rPr>
        <w:t>5</w:t>
      </w:r>
      <w:r>
        <w:rPr>
          <w:rFonts w:ascii="Times New Roman" w:eastAsia="仿宋_GB2312" w:hAnsi="Times New Roman" w:hint="eastAsia"/>
          <w:sz w:val="32"/>
          <w:szCs w:val="32"/>
        </w:rPr>
        <w:t>厘米以内（宽幅多行收获时应保证种植行距与割行中心距差别在±</w:t>
      </w:r>
      <w:r>
        <w:rPr>
          <w:rFonts w:ascii="Times New Roman" w:eastAsia="仿宋_GB2312" w:hAnsi="Times New Roman" w:hint="eastAsia"/>
          <w:sz w:val="32"/>
          <w:szCs w:val="32"/>
        </w:rPr>
        <w:t>3</w:t>
      </w:r>
      <w:r>
        <w:rPr>
          <w:rFonts w:ascii="Times New Roman" w:eastAsia="仿宋_GB2312" w:hAnsi="Times New Roman" w:hint="eastAsia"/>
          <w:sz w:val="32"/>
          <w:szCs w:val="32"/>
        </w:rPr>
        <w:t>厘米以内），超过此限则应更换割台适宜的收获机。收获机进入田间后，接合动力档，使机器缓慢运转。确认无异常后，将割台液压操纵手柄下压，降落割台到合适位置</w:t>
      </w:r>
      <w:r>
        <w:rPr>
          <w:rFonts w:ascii="Times New Roman" w:eastAsia="仿宋_GB2312" w:hAnsi="Times New Roman"/>
          <w:sz w:val="32"/>
          <w:szCs w:val="32"/>
        </w:rPr>
        <w:t>（</w:t>
      </w:r>
      <w:r>
        <w:rPr>
          <w:rFonts w:ascii="Times New Roman" w:eastAsia="仿宋_GB2312" w:hAnsi="Times New Roman" w:hint="eastAsia"/>
          <w:sz w:val="32"/>
          <w:szCs w:val="32"/>
        </w:rPr>
        <w:t>使</w:t>
      </w:r>
      <w:r>
        <w:rPr>
          <w:rFonts w:ascii="Times New Roman" w:eastAsia="仿宋_GB2312" w:hAnsi="Times New Roman"/>
          <w:sz w:val="32"/>
          <w:szCs w:val="32"/>
        </w:rPr>
        <w:t>摘穗板或摘穗</w:t>
      </w:r>
      <w:r>
        <w:rPr>
          <w:rFonts w:ascii="Times New Roman" w:eastAsia="仿宋_GB2312" w:hAnsi="Times New Roman" w:hint="eastAsia"/>
          <w:sz w:val="32"/>
          <w:szCs w:val="32"/>
        </w:rPr>
        <w:t>辊前部位于玉米结穗位下部</w:t>
      </w:r>
      <w:r>
        <w:rPr>
          <w:rFonts w:ascii="Times New Roman" w:eastAsia="仿宋_GB2312" w:hAnsi="Times New Roman"/>
          <w:sz w:val="32"/>
          <w:szCs w:val="32"/>
        </w:rPr>
        <w:t>30</w:t>
      </w:r>
      <w:r>
        <w:rPr>
          <w:rFonts w:ascii="Times New Roman" w:eastAsia="仿宋_GB2312" w:hAnsi="Times New Roman" w:hint="eastAsia"/>
          <w:sz w:val="32"/>
          <w:szCs w:val="32"/>
        </w:rPr>
        <w:t>—</w:t>
      </w:r>
      <w:r>
        <w:rPr>
          <w:rFonts w:ascii="Times New Roman" w:eastAsia="仿宋_GB2312" w:hAnsi="Times New Roman"/>
          <w:sz w:val="32"/>
          <w:szCs w:val="32"/>
        </w:rPr>
        <w:t>50</w:t>
      </w:r>
      <w:r>
        <w:rPr>
          <w:rFonts w:ascii="Times New Roman" w:eastAsia="仿宋_GB2312" w:hAnsi="Times New Roman" w:hint="eastAsia"/>
          <w:sz w:val="32"/>
          <w:szCs w:val="32"/>
        </w:rPr>
        <w:t>厘米处</w:t>
      </w:r>
      <w:r>
        <w:rPr>
          <w:rFonts w:ascii="Times New Roman" w:eastAsia="仿宋_GB2312" w:hAnsi="Times New Roman"/>
          <w:sz w:val="32"/>
          <w:szCs w:val="32"/>
        </w:rPr>
        <w:t>），</w:t>
      </w:r>
      <w:r>
        <w:rPr>
          <w:rFonts w:ascii="Times New Roman" w:eastAsia="仿宋_GB2312" w:hAnsi="Times New Roman" w:hint="eastAsia"/>
          <w:sz w:val="32"/>
          <w:szCs w:val="32"/>
        </w:rPr>
        <w:t>对准玉米行正中，缓慢结合主离合，使各机构运转，若无异常方可使发动机转速提升至额定转速；待各机构运转平稳后，</w:t>
      </w:r>
      <w:r>
        <w:rPr>
          <w:rFonts w:ascii="Times New Roman" w:eastAsia="仿宋_GB2312" w:hAnsi="Times New Roman" w:hint="eastAsia"/>
          <w:sz w:val="32"/>
          <w:szCs w:val="32"/>
        </w:rPr>
        <w:lastRenderedPageBreak/>
        <w:t>再挂低速挡前进。首先应采用收获机使用说明书推荐的参数设置进行试收，采取正常作业速度试收</w:t>
      </w:r>
      <w:r>
        <w:rPr>
          <w:rFonts w:ascii="Times New Roman" w:eastAsia="仿宋_GB2312" w:hAnsi="Times New Roman" w:hint="eastAsia"/>
          <w:sz w:val="32"/>
          <w:szCs w:val="32"/>
        </w:rPr>
        <w:t>3</w:t>
      </w:r>
      <w:r>
        <w:rPr>
          <w:rFonts w:ascii="Times New Roman" w:eastAsia="仿宋_GB2312" w:hAnsi="Times New Roman"/>
          <w:sz w:val="32"/>
          <w:szCs w:val="32"/>
        </w:rPr>
        <w:t>0</w:t>
      </w:r>
      <w:r>
        <w:rPr>
          <w:rFonts w:ascii="Times New Roman" w:eastAsia="仿宋_GB2312" w:hAnsi="Times New Roman" w:hint="eastAsia"/>
          <w:sz w:val="32"/>
          <w:szCs w:val="32"/>
        </w:rPr>
        <w:t>米</w:t>
      </w:r>
      <w:r>
        <w:rPr>
          <w:rFonts w:ascii="Times New Roman" w:eastAsia="仿宋_GB2312" w:hAnsi="Times New Roman"/>
          <w:sz w:val="32"/>
          <w:szCs w:val="32"/>
        </w:rPr>
        <w:t>左右</w:t>
      </w:r>
      <w:r>
        <w:rPr>
          <w:rFonts w:ascii="Times New Roman" w:eastAsia="仿宋_GB2312" w:hAnsi="Times New Roman" w:hint="eastAsia"/>
          <w:sz w:val="32"/>
          <w:szCs w:val="32"/>
        </w:rPr>
        <w:t>停机，并倒车至起始位置，检查各位置果穗、籽粒损失、破碎、含杂等情况，确认有无漏割、堵塞等异常情况。</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检查损失时，应明确损失类型和发生原因。损失区域由籽粒（果穗）相对于联合收获机的位置而定，收获时损失一般包含收割前损失、收获机损失，收获机损失一般又分为割台损失、脱粒损失、清选损失、苞叶夹带籽粒损失等。应明确收获损失的种类，然后进行针对性调整。收获前损失一般由天气、病虫害或其他不利因素造成，这部分损失需要通过品种、田间管理等进行调控。为了减少机械收获损失，应对摘穗辊</w:t>
      </w:r>
      <w:r>
        <w:rPr>
          <w:rFonts w:ascii="Times New Roman" w:eastAsia="仿宋_GB2312" w:hAnsi="Times New Roman"/>
          <w:sz w:val="32"/>
          <w:szCs w:val="32"/>
        </w:rPr>
        <w:t>（或拉茎辊、摘穗板）、输送、剥皮、脱粒、清选等机构视情况进行必要调整。</w:t>
      </w:r>
      <w:r>
        <w:rPr>
          <w:rFonts w:ascii="Times New Roman" w:eastAsia="仿宋_GB2312" w:hAnsi="Times New Roman" w:hint="eastAsia"/>
          <w:sz w:val="32"/>
          <w:szCs w:val="32"/>
        </w:rPr>
        <w:t>调整</w:t>
      </w:r>
      <w:r>
        <w:rPr>
          <w:rFonts w:ascii="Times New Roman" w:eastAsia="仿宋_GB2312" w:hAnsi="Times New Roman"/>
          <w:sz w:val="32"/>
          <w:szCs w:val="32"/>
        </w:rPr>
        <w:t>后再</w:t>
      </w:r>
      <w:r>
        <w:rPr>
          <w:rFonts w:ascii="Times New Roman" w:eastAsia="仿宋_GB2312" w:hAnsi="Times New Roman" w:hint="eastAsia"/>
          <w:sz w:val="32"/>
          <w:szCs w:val="32"/>
        </w:rPr>
        <w:t>进行试收检测</w:t>
      </w:r>
      <w:r>
        <w:rPr>
          <w:rFonts w:ascii="Times New Roman" w:eastAsia="仿宋_GB2312" w:hAnsi="Times New Roman"/>
          <w:sz w:val="32"/>
          <w:szCs w:val="32"/>
        </w:rPr>
        <w:t>，</w:t>
      </w:r>
      <w:r>
        <w:rPr>
          <w:rFonts w:ascii="Times New Roman" w:eastAsia="仿宋_GB2312" w:hAnsi="Times New Roman" w:hint="eastAsia"/>
          <w:sz w:val="32"/>
          <w:szCs w:val="32"/>
        </w:rPr>
        <w:t>直至达到质量标准为止。</w:t>
      </w:r>
      <w:r>
        <w:rPr>
          <w:rFonts w:ascii="Times New Roman" w:eastAsia="仿宋_GB2312" w:hAnsi="Times New Roman"/>
          <w:sz w:val="32"/>
          <w:szCs w:val="32"/>
        </w:rPr>
        <w:t>试</w:t>
      </w:r>
      <w:r>
        <w:rPr>
          <w:rFonts w:ascii="Times New Roman" w:eastAsia="仿宋_GB2312" w:hAnsi="Times New Roman" w:hint="eastAsia"/>
          <w:sz w:val="32"/>
          <w:szCs w:val="32"/>
        </w:rPr>
        <w:t>收</w:t>
      </w:r>
      <w:r>
        <w:rPr>
          <w:rFonts w:ascii="Times New Roman" w:eastAsia="仿宋_GB2312" w:hAnsi="Times New Roman"/>
          <w:sz w:val="32"/>
          <w:szCs w:val="32"/>
        </w:rPr>
        <w:t>过程中，应注意观察、倾听机器工作状况，发现异常及时</w:t>
      </w:r>
      <w:r>
        <w:rPr>
          <w:rFonts w:ascii="Times New Roman" w:eastAsia="仿宋_GB2312" w:hAnsi="Times New Roman" w:hint="eastAsia"/>
          <w:sz w:val="32"/>
          <w:szCs w:val="32"/>
        </w:rPr>
        <w:t>排除</w:t>
      </w:r>
      <w:r>
        <w:rPr>
          <w:rFonts w:ascii="Times New Roman" w:eastAsia="仿宋_GB2312" w:hAnsi="Times New Roman"/>
          <w:sz w:val="32"/>
          <w:szCs w:val="32"/>
        </w:rPr>
        <w:t>。</w:t>
      </w:r>
    </w:p>
    <w:p w:rsidR="0037596B" w:rsidRDefault="0037596B" w:rsidP="0037596B">
      <w:p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二、确定适宜收获期和收获方式</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玉米适期收获可增加粒重、减少损失、提高产量和品质，过早或过晚收获将对玉米的产量和品质产生不利影响。玉米成熟的</w:t>
      </w:r>
      <w:r w:rsidR="00FC4AEA">
        <w:rPr>
          <w:rFonts w:ascii="Times New Roman" w:eastAsia="仿宋_GB2312" w:hAnsi="Times New Roman" w:hint="eastAsia"/>
          <w:sz w:val="32"/>
          <w:szCs w:val="32"/>
        </w:rPr>
        <w:t>标志是植株的中、下部叶片变黄，基部叶片干枯，果穗变黄，苞叶干枯呈</w:t>
      </w:r>
      <w:r>
        <w:rPr>
          <w:rFonts w:ascii="Times New Roman" w:eastAsia="仿宋_GB2312" w:hAnsi="Times New Roman" w:hint="eastAsia"/>
          <w:sz w:val="32"/>
          <w:szCs w:val="32"/>
        </w:rPr>
        <w:t>黄白色而松散，籽粒脱水变硬乳线消失，微干缩凹陷，籽粒基部</w:t>
      </w:r>
      <w:r>
        <w:rPr>
          <w:rFonts w:ascii="Times New Roman" w:eastAsia="仿宋_GB2312" w:hAnsi="Times New Roman"/>
          <w:sz w:val="32"/>
          <w:szCs w:val="32"/>
        </w:rPr>
        <w:t>（胚下端）出现黑帽层，并呈现出品种固有的色泽。玉米收获适期因品种、播期及生产目的而异</w:t>
      </w:r>
      <w:r>
        <w:rPr>
          <w:rFonts w:ascii="Times New Roman" w:eastAsia="仿宋_GB2312" w:hAnsi="Times New Roman" w:hint="eastAsia"/>
          <w:sz w:val="32"/>
          <w:szCs w:val="32"/>
        </w:rPr>
        <w:t>。</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果穗收获：对种植中晚熟品种和晚播晚熟的地块，玉米</w:t>
      </w:r>
      <w:r>
        <w:rPr>
          <w:rFonts w:ascii="Times New Roman" w:eastAsia="仿宋_GB2312" w:hAnsi="Times New Roman" w:hint="eastAsia"/>
          <w:sz w:val="32"/>
          <w:szCs w:val="32"/>
        </w:rPr>
        <w:lastRenderedPageBreak/>
        <w:t>籽粒含水率一般在</w:t>
      </w:r>
      <w:r>
        <w:rPr>
          <w:rFonts w:ascii="Times New Roman" w:eastAsia="仿宋_GB2312" w:hAnsi="Times New Roman"/>
          <w:sz w:val="32"/>
          <w:szCs w:val="32"/>
        </w:rPr>
        <w:t>25%</w:t>
      </w:r>
      <w:r>
        <w:rPr>
          <w:rFonts w:ascii="Times New Roman" w:eastAsia="仿宋_GB2312" w:hAnsi="Times New Roman"/>
          <w:sz w:val="32"/>
          <w:szCs w:val="32"/>
        </w:rPr>
        <w:t>以上时，应采取机械摘穗、晒场</w:t>
      </w:r>
      <w:r>
        <w:rPr>
          <w:rFonts w:ascii="Times New Roman" w:eastAsia="仿宋_GB2312" w:hAnsi="Times New Roman" w:hint="eastAsia"/>
          <w:sz w:val="32"/>
          <w:szCs w:val="32"/>
        </w:rPr>
        <w:t>晾棒或整穗烘干的收获方式，待果穗籽粒含水率降至</w:t>
      </w:r>
      <w:r>
        <w:rPr>
          <w:rFonts w:ascii="Times New Roman" w:eastAsia="仿宋_GB2312" w:hAnsi="Times New Roman"/>
          <w:sz w:val="32"/>
          <w:szCs w:val="32"/>
        </w:rPr>
        <w:t>25%</w:t>
      </w:r>
      <w:r>
        <w:rPr>
          <w:rFonts w:ascii="Times New Roman" w:eastAsia="仿宋_GB2312" w:hAnsi="Times New Roman" w:hint="eastAsia"/>
          <w:sz w:val="32"/>
          <w:szCs w:val="32"/>
        </w:rPr>
        <w:t>以下或东北地区白天室外气温降至</w:t>
      </w:r>
      <w:r>
        <w:rPr>
          <w:rFonts w:ascii="Times New Roman" w:eastAsia="仿宋_GB2312" w:hAnsi="Times New Roman"/>
          <w:sz w:val="32"/>
          <w:szCs w:val="32"/>
        </w:rPr>
        <w:t>-10</w:t>
      </w:r>
      <w:r>
        <w:rPr>
          <w:rFonts w:ascii="Times New Roman" w:eastAsia="仿宋_GB2312" w:hAnsi="Times New Roman" w:hint="eastAsia"/>
          <w:sz w:val="32"/>
          <w:szCs w:val="32"/>
        </w:rPr>
        <w:t>℃</w:t>
      </w:r>
      <w:r>
        <w:rPr>
          <w:rFonts w:ascii="Times New Roman" w:eastAsia="仿宋_GB2312" w:hAnsi="Times New Roman"/>
          <w:sz w:val="32"/>
          <w:szCs w:val="32"/>
        </w:rPr>
        <w:t>时，</w:t>
      </w:r>
      <w:r>
        <w:rPr>
          <w:rFonts w:ascii="Times New Roman" w:eastAsia="仿宋_GB2312" w:hAnsi="Times New Roman" w:hint="eastAsia"/>
          <w:sz w:val="32"/>
          <w:szCs w:val="32"/>
        </w:rPr>
        <w:t>再用机械脱粒。</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籽粒直收：对种植早熟品种的地块，当籽粒含水率降至</w:t>
      </w:r>
      <w:r>
        <w:rPr>
          <w:rFonts w:ascii="Times New Roman" w:eastAsia="仿宋_GB2312" w:hAnsi="Times New Roman"/>
          <w:sz w:val="32"/>
          <w:szCs w:val="32"/>
        </w:rPr>
        <w:t>25%</w:t>
      </w:r>
      <w:r>
        <w:rPr>
          <w:rFonts w:ascii="Times New Roman" w:eastAsia="仿宋_GB2312" w:hAnsi="Times New Roman"/>
          <w:sz w:val="32"/>
          <w:szCs w:val="32"/>
        </w:rPr>
        <w:t>以下</w:t>
      </w:r>
      <w:r>
        <w:rPr>
          <w:rFonts w:ascii="Times New Roman" w:eastAsia="仿宋_GB2312" w:hAnsi="Times New Roman" w:hint="eastAsia"/>
          <w:sz w:val="32"/>
          <w:szCs w:val="32"/>
        </w:rPr>
        <w:t>或东北地区白天室外气温降至</w:t>
      </w:r>
      <w:r>
        <w:rPr>
          <w:rFonts w:ascii="Times New Roman" w:eastAsia="仿宋_GB2312" w:hAnsi="Times New Roman"/>
          <w:sz w:val="32"/>
          <w:szCs w:val="32"/>
        </w:rPr>
        <w:t>-10</w:t>
      </w:r>
      <w:r>
        <w:rPr>
          <w:rFonts w:ascii="Times New Roman" w:eastAsia="仿宋_GB2312" w:hAnsi="Times New Roman" w:hint="eastAsia"/>
          <w:sz w:val="32"/>
          <w:szCs w:val="32"/>
        </w:rPr>
        <w:t>℃时，可利用玉米籽粒联合收获机直接进行脱粒收获，减少晾晒再脱粒成本。</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要根据当时的天气情况、品种特性和栽培条件确定适宜收获期，合理安排收获顺序，做到因地制宜、适时抢收，确保颗粒归仓。如遇雨季迫近，或急需抢种下茬作物，或品种易落粒、折秆、掉穗、穗上发芽等情况，应适当提前收获。</w:t>
      </w:r>
    </w:p>
    <w:p w:rsidR="0037596B" w:rsidRDefault="0037596B" w:rsidP="0037596B">
      <w:p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三、机收作业质量要求</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机收作业时应严格按下表中作业质量标准执行。</w:t>
      </w:r>
    </w:p>
    <w:p w:rsidR="0037596B" w:rsidRDefault="0037596B" w:rsidP="0037596B">
      <w:pPr>
        <w:spacing w:line="600" w:lineRule="exact"/>
        <w:jc w:val="center"/>
        <w:rPr>
          <w:rFonts w:ascii="Times New Roman" w:eastAsia="仿宋_GB2312" w:hAnsi="Times New Roman"/>
          <w:sz w:val="32"/>
          <w:szCs w:val="32"/>
        </w:rPr>
      </w:pPr>
      <w:r>
        <w:rPr>
          <w:rFonts w:ascii="Times New Roman" w:eastAsia="黑体" w:hAnsi="Times New Roman" w:hint="eastAsia"/>
          <w:sz w:val="32"/>
          <w:szCs w:val="32"/>
        </w:rPr>
        <w:t>玉米收获机作业质量标准</w:t>
      </w:r>
    </w:p>
    <w:tbl>
      <w:tblPr>
        <w:tblW w:w="8080" w:type="dxa"/>
        <w:tblInd w:w="250" w:type="dxa"/>
        <w:tblLayout w:type="fixed"/>
        <w:tblLook w:val="04A0"/>
      </w:tblPr>
      <w:tblGrid>
        <w:gridCol w:w="2693"/>
        <w:gridCol w:w="2694"/>
        <w:gridCol w:w="2693"/>
      </w:tblGrid>
      <w:tr w:rsidR="0037596B" w:rsidTr="00911818">
        <w:trPr>
          <w:trHeight w:val="349"/>
        </w:trPr>
        <w:tc>
          <w:tcPr>
            <w:tcW w:w="2693" w:type="dxa"/>
            <w:vMerge w:val="restart"/>
            <w:tcBorders>
              <w:top w:val="single" w:sz="4" w:space="0" w:color="auto"/>
              <w:left w:val="single" w:sz="4" w:space="0" w:color="auto"/>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项目</w:t>
            </w:r>
          </w:p>
        </w:tc>
        <w:tc>
          <w:tcPr>
            <w:tcW w:w="5387" w:type="dxa"/>
            <w:gridSpan w:val="2"/>
            <w:tcBorders>
              <w:top w:val="single" w:sz="4" w:space="0" w:color="auto"/>
              <w:left w:val="nil"/>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指标</w:t>
            </w:r>
          </w:p>
        </w:tc>
      </w:tr>
      <w:tr w:rsidR="0037596B" w:rsidTr="00911818">
        <w:trPr>
          <w:trHeight w:val="349"/>
        </w:trPr>
        <w:tc>
          <w:tcPr>
            <w:tcW w:w="2693" w:type="dxa"/>
            <w:vMerge/>
            <w:tcBorders>
              <w:top w:val="single" w:sz="4" w:space="0" w:color="auto"/>
              <w:left w:val="single" w:sz="4" w:space="0" w:color="auto"/>
              <w:bottom w:val="single" w:sz="4" w:space="0" w:color="auto"/>
              <w:right w:val="single" w:sz="4" w:space="0" w:color="auto"/>
            </w:tcBorders>
            <w:vAlign w:val="center"/>
          </w:tcPr>
          <w:p w:rsidR="0037596B" w:rsidRDefault="0037596B" w:rsidP="00911818">
            <w:pPr>
              <w:spacing w:line="500" w:lineRule="exact"/>
              <w:ind w:firstLineChars="200" w:firstLine="560"/>
              <w:jc w:val="center"/>
              <w:rPr>
                <w:rFonts w:ascii="Times New Roman" w:eastAsia="宋体" w:hAnsi="Times New Roman"/>
                <w:sz w:val="28"/>
                <w:szCs w:val="28"/>
              </w:rPr>
            </w:pPr>
          </w:p>
        </w:tc>
        <w:tc>
          <w:tcPr>
            <w:tcW w:w="2694" w:type="dxa"/>
            <w:tcBorders>
              <w:top w:val="nil"/>
              <w:left w:val="nil"/>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果穗收获</w:t>
            </w:r>
          </w:p>
        </w:tc>
        <w:tc>
          <w:tcPr>
            <w:tcW w:w="2693" w:type="dxa"/>
            <w:tcBorders>
              <w:top w:val="nil"/>
              <w:left w:val="nil"/>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b/>
                <w:sz w:val="28"/>
                <w:szCs w:val="28"/>
              </w:rPr>
            </w:pPr>
            <w:r>
              <w:rPr>
                <w:rFonts w:ascii="Times New Roman" w:eastAsia="宋体" w:hAnsi="Times New Roman" w:hint="eastAsia"/>
                <w:sz w:val="28"/>
                <w:szCs w:val="28"/>
              </w:rPr>
              <w:t>籽粒直收</w:t>
            </w:r>
          </w:p>
        </w:tc>
      </w:tr>
      <w:tr w:rsidR="0037596B" w:rsidTr="00911818">
        <w:trPr>
          <w:trHeight w:val="349"/>
        </w:trPr>
        <w:tc>
          <w:tcPr>
            <w:tcW w:w="2693" w:type="dxa"/>
            <w:tcBorders>
              <w:top w:val="nil"/>
              <w:left w:val="single" w:sz="4" w:space="0" w:color="auto"/>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总损失率</w:t>
            </w:r>
          </w:p>
        </w:tc>
        <w:tc>
          <w:tcPr>
            <w:tcW w:w="2694" w:type="dxa"/>
            <w:tcBorders>
              <w:top w:val="nil"/>
              <w:left w:val="nil"/>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w:t>
            </w:r>
            <w:r>
              <w:rPr>
                <w:rFonts w:ascii="Times New Roman" w:eastAsia="宋体" w:hAnsi="Times New Roman" w:hint="eastAsia"/>
                <w:sz w:val="28"/>
                <w:szCs w:val="28"/>
              </w:rPr>
              <w:t>3.5%</w:t>
            </w:r>
          </w:p>
        </w:tc>
        <w:tc>
          <w:tcPr>
            <w:tcW w:w="2693" w:type="dxa"/>
            <w:tcBorders>
              <w:top w:val="nil"/>
              <w:left w:val="nil"/>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4.0</w:t>
            </w:r>
            <w:r>
              <w:rPr>
                <w:rFonts w:ascii="Times New Roman" w:eastAsia="宋体" w:hAnsi="Times New Roman"/>
                <w:sz w:val="28"/>
                <w:szCs w:val="28"/>
              </w:rPr>
              <w:t>%</w:t>
            </w:r>
          </w:p>
        </w:tc>
      </w:tr>
      <w:tr w:rsidR="0037596B" w:rsidTr="00911818">
        <w:trPr>
          <w:trHeight w:val="349"/>
        </w:trPr>
        <w:tc>
          <w:tcPr>
            <w:tcW w:w="2693" w:type="dxa"/>
            <w:tcBorders>
              <w:top w:val="nil"/>
              <w:left w:val="single" w:sz="4" w:space="0" w:color="auto"/>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籽粒破碎率</w:t>
            </w:r>
          </w:p>
        </w:tc>
        <w:tc>
          <w:tcPr>
            <w:tcW w:w="2694" w:type="dxa"/>
            <w:tcBorders>
              <w:top w:val="nil"/>
              <w:left w:val="nil"/>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w:t>
            </w:r>
            <w:r>
              <w:rPr>
                <w:rFonts w:ascii="Times New Roman" w:eastAsia="宋体" w:hAnsi="Times New Roman" w:hint="eastAsia"/>
                <w:sz w:val="28"/>
                <w:szCs w:val="28"/>
              </w:rPr>
              <w:t>0.8%</w:t>
            </w:r>
          </w:p>
        </w:tc>
        <w:tc>
          <w:tcPr>
            <w:tcW w:w="2693" w:type="dxa"/>
            <w:tcBorders>
              <w:top w:val="nil"/>
              <w:left w:val="nil"/>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5.0</w:t>
            </w:r>
            <w:r>
              <w:rPr>
                <w:rFonts w:ascii="Times New Roman" w:eastAsia="宋体" w:hAnsi="Times New Roman"/>
                <w:sz w:val="28"/>
                <w:szCs w:val="28"/>
              </w:rPr>
              <w:t>%</w:t>
            </w:r>
          </w:p>
        </w:tc>
      </w:tr>
      <w:tr w:rsidR="0037596B" w:rsidTr="00911818">
        <w:trPr>
          <w:trHeight w:val="349"/>
        </w:trPr>
        <w:tc>
          <w:tcPr>
            <w:tcW w:w="2693" w:type="dxa"/>
            <w:tcBorders>
              <w:top w:val="nil"/>
              <w:left w:val="single" w:sz="4" w:space="0" w:color="auto"/>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sz w:val="28"/>
                <w:szCs w:val="28"/>
              </w:rPr>
              <w:t>苞叶剥净率</w:t>
            </w:r>
          </w:p>
        </w:tc>
        <w:tc>
          <w:tcPr>
            <w:tcW w:w="2694" w:type="dxa"/>
            <w:tcBorders>
              <w:top w:val="nil"/>
              <w:left w:val="nil"/>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sz w:val="28"/>
                <w:szCs w:val="28"/>
              </w:rPr>
              <w:t>≥85%</w:t>
            </w:r>
          </w:p>
        </w:tc>
        <w:tc>
          <w:tcPr>
            <w:tcW w:w="2693" w:type="dxa"/>
            <w:tcBorders>
              <w:top w:val="nil"/>
              <w:left w:val="nil"/>
              <w:bottom w:val="single" w:sz="4" w:space="0" w:color="auto"/>
              <w:right w:val="single" w:sz="4" w:space="0" w:color="auto"/>
            </w:tcBorders>
            <w:vAlign w:val="center"/>
          </w:tcPr>
          <w:p w:rsidR="0037596B" w:rsidRDefault="0037596B" w:rsidP="00911818">
            <w:pPr>
              <w:spacing w:line="500" w:lineRule="exact"/>
              <w:jc w:val="center"/>
              <w:rPr>
                <w:rFonts w:ascii="Times New Roman" w:eastAsia="仿宋_GB2312" w:hAnsi="Times New Roman"/>
                <w:sz w:val="28"/>
                <w:szCs w:val="28"/>
              </w:rPr>
            </w:pPr>
            <w:r>
              <w:rPr>
                <w:rFonts w:ascii="Times New Roman" w:eastAsia="仿宋_GB2312" w:hAnsi="Times New Roman" w:hint="eastAsia"/>
                <w:sz w:val="28"/>
                <w:szCs w:val="28"/>
              </w:rPr>
              <w:t>/</w:t>
            </w:r>
          </w:p>
        </w:tc>
      </w:tr>
      <w:tr w:rsidR="0037596B" w:rsidTr="00911818">
        <w:trPr>
          <w:trHeight w:val="349"/>
        </w:trPr>
        <w:tc>
          <w:tcPr>
            <w:tcW w:w="2693" w:type="dxa"/>
            <w:tcBorders>
              <w:top w:val="nil"/>
              <w:left w:val="single" w:sz="4" w:space="0" w:color="auto"/>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含杂率</w:t>
            </w:r>
          </w:p>
        </w:tc>
        <w:tc>
          <w:tcPr>
            <w:tcW w:w="2694" w:type="dxa"/>
            <w:tcBorders>
              <w:top w:val="nil"/>
              <w:left w:val="nil"/>
              <w:bottom w:val="nil"/>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w:t>
            </w:r>
            <w:r>
              <w:rPr>
                <w:rFonts w:ascii="Times New Roman" w:eastAsia="宋体" w:hAnsi="Times New Roman" w:hint="eastAsia"/>
                <w:sz w:val="28"/>
                <w:szCs w:val="28"/>
              </w:rPr>
              <w:t>1</w:t>
            </w:r>
            <w:r>
              <w:rPr>
                <w:rFonts w:ascii="Times New Roman" w:eastAsia="宋体" w:hAnsi="Times New Roman"/>
                <w:sz w:val="28"/>
                <w:szCs w:val="28"/>
              </w:rPr>
              <w:t>.0</w:t>
            </w:r>
            <w:r>
              <w:rPr>
                <w:rFonts w:ascii="Times New Roman" w:eastAsia="宋体" w:hAnsi="Times New Roman" w:hint="eastAsia"/>
                <w:sz w:val="28"/>
                <w:szCs w:val="28"/>
              </w:rPr>
              <w:t>%</w:t>
            </w:r>
          </w:p>
        </w:tc>
        <w:tc>
          <w:tcPr>
            <w:tcW w:w="2693" w:type="dxa"/>
            <w:tcBorders>
              <w:top w:val="nil"/>
              <w:left w:val="nil"/>
              <w:bottom w:val="nil"/>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2.5</w:t>
            </w:r>
            <w:r>
              <w:rPr>
                <w:rFonts w:ascii="Times New Roman" w:eastAsia="宋体" w:hAnsi="Times New Roman"/>
                <w:sz w:val="28"/>
                <w:szCs w:val="28"/>
              </w:rPr>
              <w:t>%</w:t>
            </w:r>
          </w:p>
        </w:tc>
      </w:tr>
      <w:tr w:rsidR="0037596B" w:rsidTr="00911818">
        <w:trPr>
          <w:trHeight w:val="349"/>
        </w:trPr>
        <w:tc>
          <w:tcPr>
            <w:tcW w:w="2693" w:type="dxa"/>
            <w:tcBorders>
              <w:top w:val="nil"/>
              <w:left w:val="single" w:sz="4" w:space="0" w:color="auto"/>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茎秆切碎合格率</w:t>
            </w:r>
          </w:p>
        </w:tc>
        <w:tc>
          <w:tcPr>
            <w:tcW w:w="5387" w:type="dxa"/>
            <w:gridSpan w:val="2"/>
            <w:tcBorders>
              <w:top w:val="single" w:sz="4" w:space="0" w:color="auto"/>
              <w:left w:val="nil"/>
              <w:bottom w:val="single" w:sz="4" w:space="0" w:color="auto"/>
              <w:right w:val="single" w:sz="4" w:space="0" w:color="000000"/>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w:t>
            </w:r>
            <w:r>
              <w:rPr>
                <w:rFonts w:ascii="Times New Roman" w:eastAsia="宋体" w:hAnsi="Times New Roman"/>
                <w:sz w:val="28"/>
                <w:szCs w:val="28"/>
              </w:rPr>
              <w:t>90%</w:t>
            </w:r>
          </w:p>
        </w:tc>
      </w:tr>
      <w:tr w:rsidR="0037596B" w:rsidTr="00911818">
        <w:trPr>
          <w:trHeight w:val="349"/>
        </w:trPr>
        <w:tc>
          <w:tcPr>
            <w:tcW w:w="2693" w:type="dxa"/>
            <w:tcBorders>
              <w:top w:val="nil"/>
              <w:left w:val="single" w:sz="4" w:space="0" w:color="auto"/>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hint="eastAsia"/>
                <w:sz w:val="28"/>
                <w:szCs w:val="28"/>
              </w:rPr>
              <w:t>污染情况</w:t>
            </w:r>
          </w:p>
        </w:tc>
        <w:tc>
          <w:tcPr>
            <w:tcW w:w="5387" w:type="dxa"/>
            <w:gridSpan w:val="2"/>
            <w:tcBorders>
              <w:top w:val="single" w:sz="4" w:space="0" w:color="auto"/>
              <w:left w:val="nil"/>
              <w:bottom w:val="single" w:sz="4" w:space="0" w:color="auto"/>
              <w:right w:val="single" w:sz="4" w:space="0" w:color="auto"/>
            </w:tcBorders>
            <w:vAlign w:val="center"/>
          </w:tcPr>
          <w:p w:rsidR="0037596B" w:rsidRDefault="0037596B" w:rsidP="00911818">
            <w:pPr>
              <w:spacing w:line="500" w:lineRule="exact"/>
              <w:jc w:val="center"/>
              <w:rPr>
                <w:rFonts w:ascii="Times New Roman" w:eastAsia="宋体" w:hAnsi="Times New Roman"/>
                <w:sz w:val="28"/>
                <w:szCs w:val="28"/>
              </w:rPr>
            </w:pPr>
            <w:r>
              <w:rPr>
                <w:rFonts w:ascii="Times New Roman" w:eastAsia="宋体" w:hAnsi="Times New Roman"/>
                <w:sz w:val="28"/>
                <w:szCs w:val="28"/>
              </w:rPr>
              <w:t>收获作业后无油料泄漏造成的粮食和土地污染</w:t>
            </w:r>
          </w:p>
        </w:tc>
      </w:tr>
    </w:tbl>
    <w:p w:rsidR="0037596B" w:rsidRDefault="0037596B" w:rsidP="0037596B">
      <w:p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四、减少收获损失的措施</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（一）检查作业田块</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玉米收获机在进入地块收获前，必须先了解地块的基本情况，包括玉米品种、种植行距、密度、成熟度、产量水平、最低结穗高度、果穗下垂及茎秆倒伏情况，是否需要人工开道、清理地头、摘除倒伏玉米等，以便提前制定作业计划。对地块中的沟渠、田埂、通道等予以平整，并将地里水井、电杆拉线、树桩等不明显障碍进行标记，以利于安全作业。根据地块大小、形状，选择进地和行走路线，以利于运输车装车，尽量减少机车的进地次数。</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（二）选择作业行走路线</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收获机作业时保持直线行驶，避免紧急转向。在具体作业时，机手应根据地块实际情况灵活选用。转弯时应停止收割，采用倒车法转弯或兜圈法直角转弯，不要边收边转弯，以防分禾器、行走轮等压倒未收获的玉米，造成漏割损失，甚至损毁机器。选择正确的收获作业方向，应尽量避免横向收割，特别是在垄较高的田块，横向收割会造成机器大幅度颠簸，进而加大收割损失，甚至造成机具故障。</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（三）选择作业速度</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每种型号收获机的喂入量是有一定限度的，应根据玉米收获机自身喂入量、玉米产量、植株密度、自然高度、干湿程度等因素选择合理的作业速度。应保证前进速度与拉茎辊转速、拨禾链速度同步，避免不同步造成的割台落穗损失。通常情况下，开始时先用低速收获，然后适当提高作业速度，最后采用正常作业速度进行收获，严禁为追求效率单方面提</w:t>
      </w:r>
      <w:r>
        <w:rPr>
          <w:rFonts w:ascii="Times New Roman" w:eastAsia="仿宋_GB2312" w:hAnsi="Times New Roman" w:hint="eastAsia"/>
          <w:sz w:val="32"/>
          <w:szCs w:val="32"/>
        </w:rPr>
        <w:lastRenderedPageBreak/>
        <w:t>升前进速度。收获中注意观察摘穗机构、剥皮机构等是否有堵塞情况。当玉米稠密、植株大、产量高、行距宽窄不一（行距不规则）、地形起伏不定、早晚及雨后作物湿度大时，应适当降低作业速度；低速行驶时，不能降低发动机转速。晴天的中午前后，秸秆干燥，收获机前进速度可选择快一些。严禁用行走挡进行收获作业。</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（四）调整作业幅宽或收获行数</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在负荷允许、收割机技术状态完好的情况下，控制好作业速度，尽量满幅或接近满幅工作，保证作物喂入均匀，防止喂入量过大，影响收获质量，增加损失率、破碎率。当玉米行距宽窄不一，可不必满割幅作业，避免剐蹭相邻行茎秆，导致植株倒折及果穗掉落，增加损失。</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（五）保持合适的留茬高度</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留茬高度应根据玉米的高度和地块的平整情况而定，一般留茬高度要小于</w:t>
      </w:r>
      <w:r>
        <w:rPr>
          <w:rFonts w:ascii="Times New Roman" w:eastAsia="仿宋_GB2312" w:hAnsi="Times New Roman"/>
          <w:sz w:val="32"/>
          <w:szCs w:val="32"/>
        </w:rPr>
        <w:t>8</w:t>
      </w:r>
      <w:r>
        <w:rPr>
          <w:rFonts w:ascii="Times New Roman" w:eastAsia="仿宋_GB2312" w:hAnsi="Times New Roman" w:hint="eastAsia"/>
          <w:sz w:val="32"/>
          <w:szCs w:val="32"/>
        </w:rPr>
        <w:t>厘米，也可高留茬</w:t>
      </w:r>
      <w:r>
        <w:rPr>
          <w:rFonts w:ascii="Times New Roman" w:eastAsia="仿宋_GB2312" w:hAnsi="Times New Roman" w:hint="eastAsia"/>
          <w:sz w:val="32"/>
          <w:szCs w:val="32"/>
        </w:rPr>
        <w:t>3</w:t>
      </w:r>
      <w:r>
        <w:rPr>
          <w:rFonts w:ascii="Times New Roman" w:eastAsia="仿宋_GB2312" w:hAnsi="Times New Roman"/>
          <w:sz w:val="32"/>
          <w:szCs w:val="32"/>
        </w:rPr>
        <w:t>0</w:t>
      </w:r>
      <w:r>
        <w:rPr>
          <w:rFonts w:ascii="Times New Roman" w:eastAsia="仿宋_GB2312" w:hAnsi="Times New Roman" w:hint="eastAsia"/>
          <w:sz w:val="32"/>
          <w:szCs w:val="32"/>
        </w:rPr>
        <w:t>—</w:t>
      </w:r>
      <w:r>
        <w:rPr>
          <w:rFonts w:ascii="Times New Roman" w:eastAsia="仿宋_GB2312" w:hAnsi="Times New Roman"/>
          <w:sz w:val="32"/>
          <w:szCs w:val="32"/>
        </w:rPr>
        <w:t>40</w:t>
      </w:r>
      <w:r>
        <w:rPr>
          <w:rFonts w:ascii="Times New Roman" w:eastAsia="仿宋_GB2312" w:hAnsi="Times New Roman" w:hint="eastAsia"/>
          <w:sz w:val="32"/>
          <w:szCs w:val="32"/>
        </w:rPr>
        <w:t>厘米，后期再进行秸秆处理。还田机作业时，既要保证秸秆粉碎质量，又应避免还田刀具太低打土，造成损坏。采用保护性耕作技术种植的玉米，收获时留茬高度尽可能控制在</w:t>
      </w:r>
      <w:r>
        <w:rPr>
          <w:rFonts w:ascii="Times New Roman" w:eastAsia="仿宋_GB2312" w:hAnsi="Times New Roman"/>
          <w:sz w:val="32"/>
          <w:szCs w:val="32"/>
        </w:rPr>
        <w:t>15</w:t>
      </w:r>
      <w:r>
        <w:rPr>
          <w:rFonts w:ascii="Times New Roman" w:eastAsia="仿宋_GB2312" w:hAnsi="Times New Roman" w:hint="eastAsia"/>
          <w:sz w:val="32"/>
          <w:szCs w:val="32"/>
        </w:rPr>
        <w:t>—</w:t>
      </w:r>
      <w:r>
        <w:rPr>
          <w:rFonts w:ascii="Times New Roman" w:eastAsia="仿宋_GB2312" w:hAnsi="Times New Roman"/>
          <w:sz w:val="32"/>
          <w:szCs w:val="32"/>
        </w:rPr>
        <w:t>25</w:t>
      </w:r>
      <w:r>
        <w:rPr>
          <w:rFonts w:ascii="Times New Roman" w:eastAsia="仿宋_GB2312" w:hAnsi="Times New Roman" w:hint="eastAsia"/>
          <w:sz w:val="32"/>
          <w:szCs w:val="32"/>
        </w:rPr>
        <w:t>厘米</w:t>
      </w:r>
      <w:r>
        <w:rPr>
          <w:rFonts w:ascii="Times New Roman" w:eastAsia="仿宋_GB2312" w:hAnsi="Times New Roman"/>
          <w:sz w:val="32"/>
          <w:szCs w:val="32"/>
        </w:rPr>
        <w:t>，以利于根茬固土，形成</w:t>
      </w:r>
      <w:r>
        <w:rPr>
          <w:rFonts w:ascii="Times New Roman" w:eastAsia="仿宋_GB2312" w:hAnsi="Times New Roman"/>
          <w:sz w:val="32"/>
          <w:szCs w:val="32"/>
        </w:rPr>
        <w:t>“</w:t>
      </w:r>
      <w:r>
        <w:rPr>
          <w:rFonts w:ascii="Times New Roman" w:eastAsia="仿宋_GB2312" w:hAnsi="Times New Roman"/>
          <w:sz w:val="32"/>
          <w:szCs w:val="32"/>
        </w:rPr>
        <w:t>风墙</w:t>
      </w:r>
      <w:r>
        <w:rPr>
          <w:rFonts w:ascii="Times New Roman" w:eastAsia="仿宋_GB2312" w:hAnsi="Times New Roman"/>
          <w:sz w:val="32"/>
          <w:szCs w:val="32"/>
        </w:rPr>
        <w:t>”</w:t>
      </w:r>
      <w:r>
        <w:rPr>
          <w:rFonts w:ascii="Times New Roman" w:eastAsia="仿宋_GB2312" w:hAnsi="Times New Roman"/>
          <w:sz w:val="32"/>
          <w:szCs w:val="32"/>
        </w:rPr>
        <w:t>，起到防风</w:t>
      </w:r>
      <w:r>
        <w:rPr>
          <w:rFonts w:ascii="Times New Roman" w:eastAsia="仿宋_GB2312" w:hAnsi="Times New Roman" w:hint="eastAsia"/>
          <w:sz w:val="32"/>
          <w:szCs w:val="32"/>
        </w:rPr>
        <w:t>、</w:t>
      </w:r>
      <w:r>
        <w:rPr>
          <w:rFonts w:ascii="Times New Roman" w:eastAsia="仿宋_GB2312" w:hAnsi="Times New Roman"/>
          <w:sz w:val="32"/>
          <w:szCs w:val="32"/>
        </w:rPr>
        <w:t>降低地表风速和阻挡秸秆堆积作用。</w:t>
      </w:r>
      <w:r>
        <w:rPr>
          <w:rFonts w:ascii="Times New Roman" w:eastAsia="仿宋_GB2312" w:hAnsi="Times New Roman" w:hint="eastAsia"/>
          <w:sz w:val="32"/>
          <w:szCs w:val="32"/>
        </w:rPr>
        <w:t>如安装灭茬机时，应确保灭茬刀具的入土深度，使灭茬深浅一致，以保证作业质量。定期检查切割粉碎质量和留茬高度，根据情况随时调整。</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（六）调整摘穗辊式摘穗机构工作参数</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对于摘穗辊式的摘穗机构，收获损失略大，籽粒破碎率偏高，尤其是在转速过低时，果穗与摘穗辊的接触时间较长，玉米果穗被啃伤的几率增加；摘穗辊转速较高时，果穗与摘穗辊的碰撞较为剧烈，玉米果穗被啃伤、落粒的几率增加；因此应合理选择摘穗辊转速，达到有效降低籽粒破碎率，减少籽粒损失的目的。当摘穗辊的间隙过小时，碾压和断茎秆的情况比较严重，而且会有较粗大的秸秆不能顺利通过而产生堵塞；间隙过大时会啃伤果穗，并导致掉粒损失增加。因此，摘穗辊间隙应根据玉米性状特点进行调整，适应不同粗细的茎秆、果穗，以减少果穗、籽粒的损失。</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（七）调整拉茎辊与摘穗板组合式摘穗机构工作参数</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两个拉茎辊之间及两块摘穗板之间的间隙正确与否对减少损失、防止堵塞有很大影响，必须根据玉米品种、果穗大小、茎秆粗细等情况及时进行调整。</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拉茎辊间隙调整：拉茎辊间隙是指拉茎辊凸筋与另一拉茎辊凹面外圆之间的间隙，一般取</w:t>
      </w:r>
      <w:r>
        <w:rPr>
          <w:rFonts w:ascii="Times New Roman" w:eastAsia="仿宋_GB2312" w:hAnsi="Times New Roman"/>
          <w:sz w:val="32"/>
          <w:szCs w:val="32"/>
        </w:rPr>
        <w:t>10</w:t>
      </w:r>
      <w:r>
        <w:rPr>
          <w:rFonts w:ascii="Times New Roman" w:eastAsia="仿宋_GB2312" w:hAnsi="Times New Roman" w:hint="eastAsia"/>
          <w:sz w:val="32"/>
          <w:szCs w:val="32"/>
        </w:rPr>
        <w:t>—</w:t>
      </w:r>
      <w:r>
        <w:rPr>
          <w:rFonts w:ascii="Times New Roman" w:eastAsia="仿宋_GB2312" w:hAnsi="Times New Roman"/>
          <w:sz w:val="32"/>
          <w:szCs w:val="32"/>
        </w:rPr>
        <w:t>17</w:t>
      </w:r>
      <w:r>
        <w:rPr>
          <w:rFonts w:ascii="Times New Roman" w:eastAsia="仿宋_GB2312" w:hAnsi="Times New Roman" w:hint="eastAsia"/>
          <w:sz w:val="32"/>
          <w:szCs w:val="32"/>
        </w:rPr>
        <w:t>毫米</w:t>
      </w:r>
      <w:r>
        <w:rPr>
          <w:rFonts w:ascii="Times New Roman" w:eastAsia="仿宋_GB2312" w:hAnsi="Times New Roman"/>
          <w:sz w:val="32"/>
          <w:szCs w:val="32"/>
        </w:rPr>
        <w:t>。</w:t>
      </w:r>
      <w:r>
        <w:rPr>
          <w:rFonts w:ascii="Times New Roman" w:eastAsia="仿宋_GB2312" w:hAnsi="Times New Roman" w:hint="eastAsia"/>
          <w:sz w:val="32"/>
          <w:szCs w:val="32"/>
        </w:rPr>
        <w:t>当茎秆粗、植株密度大，作物含水率高时，间隙应适当大些，反之间隙应小些。间隙过大时拉茎不充分、易堵塞，果穗损失增大；间隙过小，造成咬断茎秆情况严重。</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摘穗板工作间隙的调整：间隙过小，会使大量的玉米叶、茎秆碎段混入玉米果穗中，含杂较大；间隙过大，会造成果穗损伤、籽粒损失增大。应根据被收玉米性状特点找到理想的摘穗板工作间隙。</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lastRenderedPageBreak/>
        <w:t>（八）调整剥皮装置</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对摘穗剥皮型玉米收获，要调整适宜压送器与剥皮辊间距。间距过小时，玉米果穗与剥皮辊的摩擦力大、剥净率高，但果穗易堵塞，果穗损伤率、落粒率均高。剥皮辊倾角一般取</w:t>
      </w:r>
      <w:r>
        <w:rPr>
          <w:rFonts w:ascii="Times New Roman" w:eastAsia="仿宋_GB2312" w:hAnsi="Times New Roman"/>
          <w:sz w:val="32"/>
          <w:szCs w:val="32"/>
        </w:rPr>
        <w:t>10</w:t>
      </w:r>
      <w:r>
        <w:rPr>
          <w:rFonts w:ascii="Times New Roman" w:eastAsia="仿宋_GB2312" w:hAnsi="Times New Roman" w:hint="eastAsia"/>
          <w:sz w:val="32"/>
          <w:szCs w:val="32"/>
        </w:rPr>
        <w:t>—</w:t>
      </w:r>
      <w:r>
        <w:rPr>
          <w:rFonts w:ascii="Times New Roman" w:eastAsia="仿宋_GB2312" w:hAnsi="Times New Roman"/>
          <w:sz w:val="32"/>
          <w:szCs w:val="32"/>
        </w:rPr>
        <w:t>12</w:t>
      </w:r>
      <w:r>
        <w:rPr>
          <w:rFonts w:ascii="Times New Roman" w:eastAsia="仿宋_GB2312" w:hAnsi="Times New Roman" w:hint="eastAsia"/>
          <w:sz w:val="32"/>
          <w:szCs w:val="32"/>
        </w:rPr>
        <w:t>度</w:t>
      </w:r>
      <w:r>
        <w:rPr>
          <w:rFonts w:ascii="Times New Roman" w:eastAsia="仿宋_GB2312" w:hAnsi="Times New Roman"/>
          <w:sz w:val="32"/>
          <w:szCs w:val="32"/>
        </w:rPr>
        <w:t>，倾角过小果穗作用时间长，损伤率、</w:t>
      </w:r>
      <w:r>
        <w:rPr>
          <w:rFonts w:ascii="Times New Roman" w:eastAsia="仿宋_GB2312" w:hAnsi="Times New Roman" w:hint="eastAsia"/>
          <w:sz w:val="32"/>
          <w:szCs w:val="32"/>
        </w:rPr>
        <w:t>落粒率均高。</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（九）调整脱粒、清选等工作部件</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玉米籽粒直收时，建议采用纵轴流脱粒滚筒配合圆杆式凹板结构降低籽粒破碎。脱粒滚筒的转速、脱粒间隙和输送叶片角度的大小，是影响玉米脱净率、破碎率的重要因素。在保证破碎率不超标的前提下，可通过适当提高脱粒滚筒的转速，减小滚筒与凹板之间的间隙，正确调整入口与出口间隙之比等措施，提高脱净率，减少脱粒损失和破碎。</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清选损失和含杂率是对立的</w:t>
      </w:r>
      <w:r>
        <w:rPr>
          <w:rFonts w:ascii="Times New Roman" w:eastAsia="仿宋_GB2312" w:hAnsi="Times New Roman"/>
          <w:sz w:val="32"/>
          <w:szCs w:val="32"/>
        </w:rPr>
        <w:t>,</w:t>
      </w:r>
      <w:r>
        <w:rPr>
          <w:rFonts w:ascii="Times New Roman" w:eastAsia="仿宋_GB2312" w:hAnsi="Times New Roman"/>
          <w:sz w:val="32"/>
          <w:szCs w:val="32"/>
        </w:rPr>
        <w:t>调整中要统筹考虑。在保证含杂率不超标的前提下，可通过适当减小风扇风量、调大筛子的开度及提高尾</w:t>
      </w:r>
      <w:r>
        <w:rPr>
          <w:rFonts w:ascii="Times New Roman" w:eastAsia="仿宋_GB2312" w:hAnsi="Times New Roman" w:hint="eastAsia"/>
          <w:sz w:val="32"/>
          <w:szCs w:val="32"/>
        </w:rPr>
        <w:t>筛位置等</w:t>
      </w:r>
      <w:r>
        <w:rPr>
          <w:rFonts w:ascii="Times New Roman" w:eastAsia="仿宋_GB2312" w:hAnsi="Times New Roman"/>
          <w:sz w:val="32"/>
          <w:szCs w:val="32"/>
        </w:rPr>
        <w:t>,</w:t>
      </w:r>
      <w:r>
        <w:rPr>
          <w:rFonts w:ascii="Times New Roman" w:eastAsia="仿宋_GB2312" w:hAnsi="Times New Roman"/>
          <w:sz w:val="32"/>
          <w:szCs w:val="32"/>
        </w:rPr>
        <w:t>减少清选损失。作业中要经常检查</w:t>
      </w:r>
      <w:r>
        <w:rPr>
          <w:rFonts w:ascii="Times New Roman" w:eastAsia="仿宋_GB2312" w:hAnsi="Times New Roman" w:hint="eastAsia"/>
          <w:sz w:val="32"/>
          <w:szCs w:val="32"/>
        </w:rPr>
        <w:t>逐稿器机箱内秸秆堵塞情况，及时清理。轴流滚筒可适当减小喂入量和提高滚筒转速</w:t>
      </w:r>
      <w:r>
        <w:rPr>
          <w:rFonts w:ascii="Times New Roman" w:eastAsia="仿宋_GB2312" w:hAnsi="Times New Roman"/>
          <w:sz w:val="32"/>
          <w:szCs w:val="32"/>
        </w:rPr>
        <w:t>,</w:t>
      </w:r>
      <w:r>
        <w:rPr>
          <w:rFonts w:ascii="Times New Roman" w:eastAsia="仿宋_GB2312" w:hAnsi="Times New Roman"/>
          <w:sz w:val="32"/>
          <w:szCs w:val="32"/>
        </w:rPr>
        <w:t>以减少分离损失</w:t>
      </w:r>
      <w:r>
        <w:rPr>
          <w:rFonts w:ascii="Times New Roman" w:eastAsia="仿宋_GB2312" w:hAnsi="Times New Roman" w:hint="eastAsia"/>
          <w:sz w:val="32"/>
          <w:szCs w:val="32"/>
        </w:rPr>
        <w:t>。</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（十）收割过熟作物</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玉米过度成熟时，茎秆过干易折断、果穗易脱落，脱粒后碎茎秆增加易引起分离困难，收获时应适当降低前行速度，适当调整清选筛开度，也可安排在早晨或傍晚茎秆韧性较大时收割。</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lastRenderedPageBreak/>
        <w:t>（十一）收割倒伏作物</w:t>
      </w:r>
    </w:p>
    <w:p w:rsidR="0037596B" w:rsidRDefault="0037596B" w:rsidP="0037596B">
      <w:pPr>
        <w:pStyle w:val="a3"/>
        <w:spacing w:before="0" w:beforeAutospacing="0" w:after="0" w:afterAutospacing="0"/>
        <w:ind w:firstLineChars="200" w:firstLine="640"/>
        <w:rPr>
          <w:rFonts w:eastAsia="仿宋_GB2312"/>
          <w:kern w:val="2"/>
          <w:sz w:val="32"/>
          <w:szCs w:val="32"/>
        </w:rPr>
      </w:pPr>
      <w:r>
        <w:rPr>
          <w:rFonts w:eastAsia="仿宋_GB2312" w:hint="eastAsia"/>
          <w:kern w:val="2"/>
          <w:sz w:val="32"/>
          <w:szCs w:val="32"/>
        </w:rPr>
        <w:t>（</w:t>
      </w:r>
      <w:r>
        <w:rPr>
          <w:rFonts w:eastAsia="仿宋_GB2312"/>
          <w:kern w:val="2"/>
          <w:sz w:val="32"/>
          <w:szCs w:val="32"/>
        </w:rPr>
        <w:t>1</w:t>
      </w:r>
      <w:r>
        <w:rPr>
          <w:rFonts w:eastAsia="仿宋_GB2312"/>
          <w:kern w:val="2"/>
          <w:sz w:val="32"/>
          <w:szCs w:val="32"/>
        </w:rPr>
        <w:t>）适宜机具选择。收获倒伏玉米宜选用割台长度长、倾角小、</w:t>
      </w:r>
      <w:r>
        <w:rPr>
          <w:rFonts w:eastAsia="仿宋_GB2312" w:hint="eastAsia"/>
          <w:kern w:val="2"/>
          <w:sz w:val="32"/>
          <w:szCs w:val="32"/>
        </w:rPr>
        <w:t>分禾器尖能够贴地作业的玉米收获机。对于有积水或土壤湿度大的地块，宜选用履带式收获机，防止陷车。（</w:t>
      </w:r>
      <w:r>
        <w:rPr>
          <w:rFonts w:eastAsia="仿宋_GB2312"/>
          <w:kern w:val="2"/>
          <w:sz w:val="32"/>
          <w:szCs w:val="32"/>
        </w:rPr>
        <w:t>2</w:t>
      </w:r>
      <w:r>
        <w:rPr>
          <w:rFonts w:eastAsia="仿宋_GB2312"/>
          <w:kern w:val="2"/>
          <w:sz w:val="32"/>
          <w:szCs w:val="32"/>
        </w:rPr>
        <w:t>）做好机具调试改装。适当调整</w:t>
      </w:r>
      <w:r>
        <w:rPr>
          <w:rFonts w:eastAsia="仿宋_GB2312" w:hint="eastAsia"/>
          <w:kern w:val="2"/>
          <w:sz w:val="32"/>
          <w:szCs w:val="32"/>
        </w:rPr>
        <w:t>或改装辊式分禾器、链式辅助喂入和拨指式喂入等装置，提高倒伏作物喂入的流畅性；针对籽粒收获机，应调整滚筒转速和凹板间隙等，避免过度揉搓，减少高水分籽粒破损。（</w:t>
      </w:r>
      <w:r>
        <w:rPr>
          <w:rFonts w:eastAsia="仿宋_GB2312"/>
          <w:kern w:val="2"/>
          <w:sz w:val="32"/>
          <w:szCs w:val="32"/>
        </w:rPr>
        <w:t>3</w:t>
      </w:r>
      <w:r>
        <w:rPr>
          <w:rFonts w:eastAsia="仿宋_GB2312"/>
          <w:kern w:val="2"/>
          <w:sz w:val="32"/>
          <w:szCs w:val="32"/>
        </w:rPr>
        <w:t>）合理确定作业方式。对于倒伏方向与种植行平行的玉米植株宜采取</w:t>
      </w:r>
      <w:r>
        <w:rPr>
          <w:rFonts w:eastAsia="仿宋_GB2312" w:hint="eastAsia"/>
          <w:kern w:val="2"/>
          <w:sz w:val="32"/>
          <w:szCs w:val="32"/>
        </w:rPr>
        <w:t>逆向对行收获方式，并空转返回，有利于扶起倒伏玉米进行收割；对于倒伏方向不一致的玉米植株宜采取往复对行收获作业方式。作业时收获机分禾器前部应在垄沟内贴近地面，并断开秸秆还田装置动力或将该装置提升至最高位置，防止漏收玉米果穗被打碎，方便人工捡拾，减少收获损失。收获作业时应适当降低收获速度确保正常作业性能，及时清理割台，防止倒伏玉米植株不规则喂入等原因造成的堵塞，影响作业效果加大作业损失。</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（十二）坡地收获</w:t>
      </w:r>
    </w:p>
    <w:p w:rsidR="0037596B" w:rsidRDefault="0037596B" w:rsidP="0037596B">
      <w:pPr>
        <w:ind w:firstLineChars="200" w:firstLine="640"/>
        <w:rPr>
          <w:rFonts w:ascii="Times New Roman" w:eastAsia="楷体_GB2312" w:hAnsi="Times New Roman" w:cs="楷体_GB2312"/>
          <w:b/>
          <w:bCs/>
          <w:sz w:val="32"/>
          <w:szCs w:val="32"/>
        </w:rPr>
      </w:pPr>
      <w:r>
        <w:rPr>
          <w:rFonts w:ascii="Times New Roman" w:eastAsia="仿宋_GB2312" w:hAnsi="Times New Roman" w:hint="eastAsia"/>
          <w:sz w:val="32"/>
          <w:szCs w:val="32"/>
        </w:rPr>
        <w:t>采用螺旋式分禾器，</w:t>
      </w:r>
      <w:r>
        <w:rPr>
          <w:rFonts w:ascii="Times New Roman" w:eastAsia="仿宋_GB2312" w:hAnsi="Times New Roman"/>
          <w:sz w:val="32"/>
          <w:szCs w:val="32"/>
        </w:rPr>
        <w:t>或者安装分离装置格栅盖来改善</w:t>
      </w:r>
      <w:r>
        <w:rPr>
          <w:rFonts w:ascii="Times New Roman" w:eastAsia="仿宋_GB2312" w:hAnsi="Times New Roman" w:hint="eastAsia"/>
          <w:sz w:val="32"/>
          <w:szCs w:val="32"/>
        </w:rPr>
        <w:t>分离效果，</w:t>
      </w:r>
      <w:r>
        <w:rPr>
          <w:rFonts w:ascii="Times New Roman" w:eastAsia="仿宋_GB2312" w:hAnsi="Times New Roman"/>
          <w:sz w:val="32"/>
          <w:szCs w:val="32"/>
        </w:rPr>
        <w:t>提高机器在坡地上的作业性能</w:t>
      </w:r>
      <w:r>
        <w:rPr>
          <w:rFonts w:ascii="Times New Roman" w:eastAsia="仿宋_GB2312" w:hAnsi="Times New Roman" w:hint="eastAsia"/>
          <w:sz w:val="32"/>
          <w:szCs w:val="32"/>
        </w:rPr>
        <w:t>。</w:t>
      </w:r>
      <w:r>
        <w:rPr>
          <w:rFonts w:ascii="Times New Roman" w:eastAsia="仿宋_GB2312" w:hAnsi="Times New Roman"/>
          <w:sz w:val="32"/>
          <w:szCs w:val="32"/>
        </w:rPr>
        <w:t>使用割台时，在不漏割矮穗的前提下，尽可能提高作物的切割高度。</w:t>
      </w:r>
    </w:p>
    <w:p w:rsidR="0037596B" w:rsidRDefault="0037596B" w:rsidP="0037596B">
      <w:pPr>
        <w:spacing w:line="600" w:lineRule="exact"/>
        <w:ind w:firstLineChars="200" w:firstLine="643"/>
        <w:rPr>
          <w:rFonts w:ascii="Times New Roman" w:eastAsia="楷体_GB2312" w:hAnsi="Times New Roman" w:cs="楷体_GB2312"/>
          <w:b/>
          <w:bCs/>
          <w:sz w:val="32"/>
          <w:szCs w:val="32"/>
        </w:rPr>
      </w:pPr>
      <w:r>
        <w:rPr>
          <w:rFonts w:ascii="Times New Roman" w:eastAsia="楷体_GB2312" w:hAnsi="Times New Roman" w:cs="楷体_GB2312" w:hint="eastAsia"/>
          <w:b/>
          <w:bCs/>
          <w:sz w:val="32"/>
          <w:szCs w:val="32"/>
        </w:rPr>
        <w:t>（十三）规范作业操作</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驾驶员应随时观察收获期作业状况，避免发生分禾器</w:t>
      </w:r>
      <w:r>
        <w:rPr>
          <w:rFonts w:ascii="Times New Roman" w:eastAsia="仿宋_GB2312" w:hAnsi="Times New Roman"/>
          <w:sz w:val="32"/>
          <w:szCs w:val="32"/>
        </w:rPr>
        <w:t>/</w:t>
      </w:r>
      <w:r>
        <w:rPr>
          <w:rFonts w:ascii="Times New Roman" w:eastAsia="仿宋_GB2312" w:hAnsi="Times New Roman" w:hint="eastAsia"/>
          <w:sz w:val="32"/>
          <w:szCs w:val="32"/>
        </w:rPr>
        <w:lastRenderedPageBreak/>
        <w:t>摘穗机构碰撞硬物、漏收、喂入量过大、还田机锤爪打土等异常现象。</w:t>
      </w:r>
      <w:r>
        <w:rPr>
          <w:rFonts w:ascii="Times New Roman" w:eastAsia="仿宋_GB2312" w:hAnsi="Times New Roman"/>
          <w:sz w:val="32"/>
          <w:szCs w:val="32"/>
        </w:rPr>
        <w:t>作业过程中不得随意停车，若需停车时，应先停止机</w:t>
      </w:r>
      <w:r>
        <w:rPr>
          <w:rFonts w:ascii="Times New Roman" w:eastAsia="仿宋_GB2312" w:hAnsi="Times New Roman" w:hint="eastAsia"/>
          <w:sz w:val="32"/>
          <w:szCs w:val="32"/>
        </w:rPr>
        <w:t>器前进，让收获机继续运转</w:t>
      </w:r>
      <w:r>
        <w:rPr>
          <w:rFonts w:ascii="Times New Roman" w:eastAsia="仿宋_GB2312" w:hAnsi="Times New Roman"/>
          <w:sz w:val="32"/>
          <w:szCs w:val="32"/>
        </w:rPr>
        <w:t>30</w:t>
      </w:r>
      <w:r>
        <w:rPr>
          <w:rFonts w:ascii="Times New Roman" w:eastAsia="仿宋_GB2312" w:hAnsi="Times New Roman"/>
          <w:sz w:val="32"/>
          <w:szCs w:val="32"/>
        </w:rPr>
        <w:t>秒左右，然后再切断动力，以减少再次启动时发生果穗断裂和籽粒破碎的现象。</w:t>
      </w:r>
    </w:p>
    <w:p w:rsidR="0037596B" w:rsidRDefault="0037596B" w:rsidP="0037596B">
      <w:pPr>
        <w:spacing w:line="60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五、培训与监督</w:t>
      </w:r>
    </w:p>
    <w:p w:rsidR="0037596B" w:rsidRDefault="0037596B" w:rsidP="0037596B">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机手、种植户和从事收获质量监督的乡镇农机管理人员应经过培训，</w:t>
      </w:r>
      <w:r>
        <w:rPr>
          <w:rFonts w:ascii="Times New Roman" w:eastAsia="仿宋_GB2312" w:hAnsi="Times New Roman" w:hint="eastAsia"/>
          <w:sz w:val="32"/>
          <w:szCs w:val="32"/>
        </w:rPr>
        <w:t>掌握玉米品种、籽粒含水率、种植模式、收割地形等方面的知识，</w:t>
      </w:r>
      <w:r>
        <w:rPr>
          <w:rFonts w:ascii="Times New Roman" w:eastAsia="仿宋_GB2312" w:hAnsi="Times New Roman"/>
          <w:sz w:val="32"/>
          <w:szCs w:val="32"/>
        </w:rPr>
        <w:t>掌握</w:t>
      </w:r>
      <w:r>
        <w:rPr>
          <w:rFonts w:ascii="Times New Roman" w:eastAsia="仿宋_GB2312" w:hAnsi="Times New Roman" w:hint="eastAsia"/>
          <w:sz w:val="32"/>
          <w:szCs w:val="32"/>
        </w:rPr>
        <w:t>收获</w:t>
      </w:r>
      <w:r>
        <w:rPr>
          <w:rFonts w:ascii="Times New Roman" w:eastAsia="仿宋_GB2312" w:hAnsi="Times New Roman"/>
          <w:sz w:val="32"/>
          <w:szCs w:val="32"/>
        </w:rPr>
        <w:t>机的正确使用</w:t>
      </w:r>
      <w:r>
        <w:rPr>
          <w:rFonts w:ascii="Times New Roman" w:eastAsia="仿宋_GB2312" w:hAnsi="Times New Roman" w:hint="eastAsia"/>
          <w:sz w:val="32"/>
          <w:szCs w:val="32"/>
        </w:rPr>
        <w:t>、</w:t>
      </w:r>
      <w:r>
        <w:rPr>
          <w:rFonts w:ascii="Times New Roman" w:eastAsia="仿宋_GB2312" w:hAnsi="Times New Roman"/>
          <w:sz w:val="32"/>
          <w:szCs w:val="32"/>
        </w:rPr>
        <w:t>维护保养知识</w:t>
      </w:r>
      <w:r>
        <w:rPr>
          <w:rFonts w:ascii="Times New Roman" w:eastAsia="仿宋_GB2312" w:hAnsi="Times New Roman" w:hint="eastAsia"/>
          <w:sz w:val="32"/>
          <w:szCs w:val="32"/>
        </w:rPr>
        <w:t>以及</w:t>
      </w:r>
      <w:r>
        <w:rPr>
          <w:rFonts w:ascii="Times New Roman" w:eastAsia="仿宋_GB2312" w:hAnsi="Times New Roman"/>
          <w:sz w:val="32"/>
          <w:szCs w:val="32"/>
        </w:rPr>
        <w:t>作业质量标准要求</w:t>
      </w:r>
      <w:r>
        <w:rPr>
          <w:rFonts w:ascii="Times New Roman" w:eastAsia="仿宋_GB2312" w:hAnsi="Times New Roman" w:hint="eastAsia"/>
          <w:sz w:val="32"/>
          <w:szCs w:val="32"/>
        </w:rPr>
        <w:t>。鼓励</w:t>
      </w:r>
      <w:r>
        <w:rPr>
          <w:rFonts w:ascii="Times New Roman" w:eastAsia="仿宋_GB2312" w:hAnsi="Times New Roman"/>
          <w:sz w:val="32"/>
          <w:szCs w:val="32"/>
        </w:rPr>
        <w:t>种植户</w:t>
      </w:r>
      <w:r>
        <w:rPr>
          <w:rFonts w:ascii="Times New Roman" w:eastAsia="仿宋_GB2312" w:hAnsi="Times New Roman" w:hint="eastAsia"/>
          <w:sz w:val="32"/>
          <w:szCs w:val="32"/>
        </w:rPr>
        <w:t>与机手签订收获作业损失协议，</w:t>
      </w:r>
      <w:r>
        <w:rPr>
          <w:rFonts w:ascii="Times New Roman" w:eastAsia="仿宋_GB2312" w:hAnsi="Times New Roman"/>
          <w:sz w:val="32"/>
          <w:szCs w:val="32"/>
        </w:rPr>
        <w:t>农机管理人员可通过巡回检查监督作业损失等情况，并在损失偏大或出现其它不合乎要求情形时，要求机手调整，仍然不合要求的，应更换作业</w:t>
      </w:r>
      <w:r>
        <w:rPr>
          <w:rFonts w:ascii="Times New Roman" w:eastAsia="仿宋_GB2312" w:hAnsi="Times New Roman" w:hint="eastAsia"/>
          <w:sz w:val="32"/>
          <w:szCs w:val="32"/>
        </w:rPr>
        <w:t>机器</w:t>
      </w:r>
      <w:r>
        <w:rPr>
          <w:rFonts w:ascii="Times New Roman" w:eastAsia="仿宋_GB2312" w:hAnsi="Times New Roman"/>
          <w:sz w:val="32"/>
          <w:szCs w:val="32"/>
        </w:rPr>
        <w:t>。</w:t>
      </w:r>
    </w:p>
    <w:p w:rsidR="0037596B" w:rsidRDefault="0037596B" w:rsidP="0037596B">
      <w:pPr>
        <w:spacing w:line="600" w:lineRule="exact"/>
        <w:ind w:firstLineChars="200" w:firstLine="640"/>
        <w:rPr>
          <w:rFonts w:ascii="Times New Roman" w:eastAsia="仿宋_GB2312" w:hAnsi="Times New Roman"/>
          <w:sz w:val="32"/>
          <w:szCs w:val="32"/>
        </w:rPr>
      </w:pPr>
    </w:p>
    <w:p w:rsidR="000078A3" w:rsidRPr="0037596B" w:rsidRDefault="00FB724E"/>
    <w:sectPr w:rsidR="000078A3" w:rsidRPr="0037596B" w:rsidSect="007855E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24E" w:rsidRDefault="00FB724E" w:rsidP="00FC4AEA">
      <w:r>
        <w:separator/>
      </w:r>
    </w:p>
  </w:endnote>
  <w:endnote w:type="continuationSeparator" w:id="1">
    <w:p w:rsidR="00FB724E" w:rsidRDefault="00FB724E" w:rsidP="00FC4A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43989"/>
      <w:docPartObj>
        <w:docPartGallery w:val="Page Numbers (Bottom of Page)"/>
        <w:docPartUnique/>
      </w:docPartObj>
    </w:sdtPr>
    <w:sdtContent>
      <w:p w:rsidR="000C30E9" w:rsidRDefault="000C30E9">
        <w:pPr>
          <w:pStyle w:val="a5"/>
          <w:jc w:val="center"/>
        </w:pPr>
        <w:fldSimple w:instr=" PAGE   \* MERGEFORMAT ">
          <w:r w:rsidRPr="000C30E9">
            <w:rPr>
              <w:noProof/>
              <w:lang w:val="zh-CN"/>
            </w:rPr>
            <w:t>6</w:t>
          </w:r>
        </w:fldSimple>
      </w:p>
    </w:sdtContent>
  </w:sdt>
  <w:p w:rsidR="000C30E9" w:rsidRDefault="000C30E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24E" w:rsidRDefault="00FB724E" w:rsidP="00FC4AEA">
      <w:r>
        <w:separator/>
      </w:r>
    </w:p>
  </w:footnote>
  <w:footnote w:type="continuationSeparator" w:id="1">
    <w:p w:rsidR="00FB724E" w:rsidRDefault="00FB724E" w:rsidP="00FC4A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596B"/>
    <w:rsid w:val="000C30E9"/>
    <w:rsid w:val="0037596B"/>
    <w:rsid w:val="007855E6"/>
    <w:rsid w:val="00AB50EB"/>
    <w:rsid w:val="00B73CED"/>
    <w:rsid w:val="00BB4DCC"/>
    <w:rsid w:val="00FB724E"/>
    <w:rsid w:val="00FC4A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9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37596B"/>
    <w:pPr>
      <w:spacing w:before="100" w:beforeAutospacing="1" w:after="100" w:afterAutospacing="1"/>
      <w:jc w:val="left"/>
    </w:pPr>
    <w:rPr>
      <w:rFonts w:ascii="Times New Roman" w:eastAsia="宋体" w:hAnsi="Times New Roman" w:cs="Times New Roman"/>
      <w:kern w:val="0"/>
      <w:sz w:val="24"/>
    </w:rPr>
  </w:style>
  <w:style w:type="paragraph" w:styleId="a4">
    <w:name w:val="header"/>
    <w:basedOn w:val="a"/>
    <w:link w:val="Char"/>
    <w:uiPriority w:val="99"/>
    <w:semiHidden/>
    <w:unhideWhenUsed/>
    <w:rsid w:val="00FC4A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C4AEA"/>
    <w:rPr>
      <w:sz w:val="18"/>
      <w:szCs w:val="18"/>
    </w:rPr>
  </w:style>
  <w:style w:type="paragraph" w:styleId="a5">
    <w:name w:val="footer"/>
    <w:basedOn w:val="a"/>
    <w:link w:val="Char0"/>
    <w:uiPriority w:val="99"/>
    <w:unhideWhenUsed/>
    <w:rsid w:val="00FC4AEA"/>
    <w:pPr>
      <w:tabs>
        <w:tab w:val="center" w:pos="4153"/>
        <w:tab w:val="right" w:pos="8306"/>
      </w:tabs>
      <w:snapToGrid w:val="0"/>
      <w:jc w:val="left"/>
    </w:pPr>
    <w:rPr>
      <w:sz w:val="18"/>
      <w:szCs w:val="18"/>
    </w:rPr>
  </w:style>
  <w:style w:type="character" w:customStyle="1" w:styleId="Char0">
    <w:name w:val="页脚 Char"/>
    <w:basedOn w:val="a0"/>
    <w:link w:val="a5"/>
    <w:uiPriority w:val="99"/>
    <w:rsid w:val="00FC4AE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ngjitong.com/product/7912.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dc:creator>
  <cp:lastModifiedBy>moa</cp:lastModifiedBy>
  <cp:revision>3</cp:revision>
  <dcterms:created xsi:type="dcterms:W3CDTF">2021-05-27T00:40:00Z</dcterms:created>
  <dcterms:modified xsi:type="dcterms:W3CDTF">2021-05-27T02:08:00Z</dcterms:modified>
</cp:coreProperties>
</file>