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附件1</w:t>
      </w:r>
    </w:p>
    <w:p>
      <w:pPr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2020范蠡学术大会学科领域及专题设置安排</w:t>
      </w:r>
    </w:p>
    <w:p>
      <w:pPr>
        <w:spacing w:line="360" w:lineRule="auto"/>
        <w:rPr>
          <w:rFonts w:ascii="仿宋_GB2312" w:hAnsi="Times New Roman" w:eastAsia="仿宋_GB2312"/>
          <w:color w:val="000000"/>
          <w:sz w:val="32"/>
          <w:szCs w:val="32"/>
          <w:lang w:val="zh-TW" w:eastAsia="zh-TW"/>
        </w:rPr>
      </w:pPr>
    </w:p>
    <w:tbl>
      <w:tblPr>
        <w:tblStyle w:val="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kern w:val="0"/>
                <w:sz w:val="32"/>
                <w:szCs w:val="32"/>
              </w:rPr>
              <w:t>领  域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kern w:val="0"/>
                <w:sz w:val="32"/>
                <w:szCs w:val="32"/>
              </w:rPr>
              <w:t>专 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绿色水产养殖新技术新模式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1.水产养殖尾水处理技术与应用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2.渔农综合种养技术模式及实践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3.深远海大型设施化养殖及发展前景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水产生物技术与遗传育种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4.水产生物技术研究进展及产业应用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5.水产育种前沿技术与应用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水产养殖动物营养与饲料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6.水产饲料新型蛋白源的研发与应用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7.替代幼杂鱼用配合饲料的研发与应用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水产病害防治与水产品质量安全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8.水产病害防控与水产品食用安全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9.水产养殖用药物研发及生产使用规范化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海洋渔业资源养护与可持续利用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10.我国海洋渔业资源现状与可捕量评估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11.选择性渔具渔法与资源可持续利用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12.国际渔业资源管理与远洋渔业发展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水生生物资源养护</w:t>
            </w:r>
            <w:r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>利用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及水域生态修复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13.海洋牧场构建及其效果评价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14.大江大河禁渔与生态环境保护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15.大水面资源养护利用及水域生态修复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濒危水生野生动物保护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16.典型水生野生动物保护技术与策略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17.水生野生动物人工繁育与保护利用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水产品加工与综合利用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18.水产品保鲜、加工与冷链建设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19.水产品营养、产品开发与人体健康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休闲渔业与渔文化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20.休闲渔业与产业融合发展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21.渔文化建设和渔业史研究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现代渔业设施装备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22.玻璃钢渔船技术发展与产业化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23.工厂化循环水养殖系统构建与应用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渔业信息化与新兴技术应用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kern w:val="0"/>
                <w:sz w:val="30"/>
                <w:szCs w:val="30"/>
              </w:rPr>
              <w:t>24.新兴信息技术在渔业生产和管理上的应用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25.渔业信息系统构建及大数据应用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830" w:type="dxa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渔业经济、政策与管理</w:t>
            </w:r>
          </w:p>
        </w:tc>
        <w:tc>
          <w:tcPr>
            <w:tcW w:w="5954" w:type="dxa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26.水产品国际贸易动荡及其产业影响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27.渔港经济区建设与渔业发展和渔区振兴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28.《渔业法》修订和渔业治理现代化</w:t>
            </w:r>
          </w:p>
        </w:tc>
      </w:tr>
    </w:tbl>
    <w:p>
      <w:pPr>
        <w:widowControl/>
        <w:wordWrap w:val="0"/>
        <w:spacing w:line="360" w:lineRule="auto"/>
        <w:ind w:right="160" w:firstLine="640"/>
        <w:jc w:val="right"/>
        <w:rPr>
          <w:rFonts w:ascii="仿宋_GB2312" w:hAnsi="黑体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/>
        </w:rPr>
        <w:t xml:space="preserve"> </w:t>
      </w: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eastAsia="PMingLiU"/>
          <w:color w:val="000000"/>
          <w:lang w:eastAsia="zh-TW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  <w:lang w:eastAsia="zh-TW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斑节对虾促性腺激素释放激素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的免疫定位及调控机制初探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韩萍</w:t>
      </w:r>
      <w:r>
        <w:rPr>
          <w:rFonts w:ascii="宋体" w:hAnsi="宋体"/>
          <w:color w:val="000000"/>
          <w:vertAlign w:val="superscript"/>
        </w:rPr>
        <w:t>a,b</w:t>
      </w:r>
      <w:r>
        <w:rPr>
          <w:rFonts w:hint="eastAsia" w:ascii="宋体" w:hAnsi="宋体"/>
          <w:color w:val="000000"/>
          <w:lang w:val="zh-CN"/>
        </w:rPr>
        <w:t>，杨丽诗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，杨其彬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，黄建华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，周发林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，江世贵</w:t>
      </w:r>
      <w:r>
        <w:rPr>
          <w:rFonts w:ascii="宋体" w:hAnsi="宋体"/>
          <w:color w:val="000000"/>
          <w:vertAlign w:val="superscript"/>
        </w:rPr>
        <w:t>a,</w:t>
      </w:r>
      <w:r>
        <w:rPr>
          <w:rFonts w:ascii="宋体" w:hAnsi="宋体"/>
          <w:color w:val="000000"/>
        </w:rPr>
        <w:t xml:space="preserve"> *</w:t>
      </w:r>
    </w:p>
    <w:p>
      <w:pPr>
        <w:jc w:val="center"/>
        <w:rPr>
          <w:rFonts w:ascii="宋体" w:hAnsi="宋体"/>
          <w:color w:val="000000"/>
          <w:sz w:val="18"/>
          <w:szCs w:val="18"/>
          <w:lang w:val="zh-CN"/>
        </w:rPr>
      </w:pPr>
      <w:r>
        <w:rPr>
          <w:rFonts w:ascii="宋体" w:hAnsi="宋体"/>
          <w:color w:val="000000"/>
          <w:sz w:val="18"/>
          <w:szCs w:val="18"/>
          <w:vertAlign w:val="superscript"/>
          <w:lang w:val="zh-CN"/>
        </w:rPr>
        <w:t>a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农业部南海渔业资源开发利用重点实验室，南海水产研究所，中国水产科学研究院，广州，</w:t>
      </w:r>
      <w:r>
        <w:rPr>
          <w:rFonts w:ascii="宋体" w:hAnsi="宋体"/>
          <w:color w:val="000000"/>
          <w:sz w:val="18"/>
          <w:szCs w:val="18"/>
          <w:lang w:val="zh-CN"/>
        </w:rPr>
        <w:t>510300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，中国；</w:t>
      </w:r>
    </w:p>
    <w:p>
      <w:pPr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  <w:vertAlign w:val="superscript"/>
          <w:lang w:val="zh-CN"/>
        </w:rPr>
        <w:t>b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上海海洋大学，水产与生命技术学院，上海</w:t>
      </w:r>
      <w:r>
        <w:rPr>
          <w:rFonts w:ascii="宋体" w:hAnsi="宋体"/>
          <w:color w:val="000000"/>
          <w:sz w:val="18"/>
          <w:szCs w:val="18"/>
          <w:lang w:val="zh-CN"/>
        </w:rPr>
        <w:t xml:space="preserve"> 201306</w:t>
      </w:r>
    </w:p>
    <w:p>
      <w:pPr>
        <w:jc w:val="center"/>
        <w:rPr>
          <w:color w:val="000000"/>
        </w:rPr>
      </w:pPr>
    </w:p>
    <w:p>
      <w:pPr>
        <w:rPr>
          <w:rFonts w:ascii="宋体" w:hAnsi="宋体"/>
          <w:color w:val="000000"/>
        </w:rPr>
      </w:pPr>
      <w:bookmarkStart w:id="0" w:name="_GoBack"/>
      <w:bookmarkEnd w:id="0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455930</wp:posOffset>
                </wp:positionV>
                <wp:extent cx="3162300" cy="2314575"/>
                <wp:effectExtent l="19050" t="19050" r="38100" b="476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本页为“2020中国水产学会范蠡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学术大会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论文摘要模板”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★论文摘要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文档名称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格式必须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为：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范蠡学术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大会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领域名称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-姓名-论文摘要题目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1.每篇论文摘要分为中、英文两部分（不接受纯英文），总计不超过A4一页（最多不得超过本模板对应的字数）。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2.请按照本模板的页边距、字体、字号及段落间距调整您的摘要格式，格式不符者视为无效且不予纳入《论文摘要集》。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3.请于2020年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日前将您的论文摘要作为附件发送至E-mail：csfish@vip.163.com。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4.每位口头报告者仅限提交1篇论文摘要，请确认无误后再提交。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5pt;margin-top:35.9pt;height:182.25pt;width:249pt;z-index:251659264;mso-width-relative:page;mso-height-relative:page;" fillcolor="#FFFFFF" filled="t" stroked="t" coordsize="21600,21600" o:gfxdata="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NO2xT2gAAAAoBAAAPAAAAAAAAAAEAIAAAACIAAABkcnMvZG93bnJldi54bWxQ&#10;SwECFAAUAAAACACHTuJACa1Kbi4CAABJBAAADgAAAAAAAAABACAAAAApAQAAZHJzL2Uyb0RvYy54&#10;bWxQSwUGAAAAAAYABgBZAQAAyQUAAAAA&#10;">
                <v:fill on="t" focussize="0,0"/>
                <v:stroke weight="4.5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本页为“2020中国水产学会范蠡</w:t>
                      </w:r>
                      <w: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  <w:t>学术大会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论文摘要模板”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★论文摘要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文档名称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格式必须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为：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范蠡学术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大会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-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领域名称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-姓名-论文摘要题目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1.每篇论文摘要分为中、英文两部分（不接受纯英文），总计不超过A4一页（最多不得超过本模板对应的字数）。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2.请按照本模板的页边距、字体、字号及段落间距调整您的摘要格式，格式不符者视为无效且不予纳入《论文摘要集》。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3.请于2020年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日前将您的论文摘要作为附件发送至E-mail：csfish@vip.163.com。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4.每位口头报告者仅限提交1篇论文摘要，请确认无误后再提交。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bCs/>
          <w:color w:val="000000"/>
        </w:rPr>
        <w:t>摘要：</w:t>
      </w:r>
      <w:r>
        <w:rPr>
          <w:rFonts w:hint="eastAsia" w:ascii="宋体" w:hAnsi="宋体"/>
          <w:color w:val="000000"/>
        </w:rPr>
        <w:t>为了获知促性腺激素释放激素</w:t>
      </w:r>
      <w:r>
        <w:rPr>
          <w:rFonts w:ascii="宋体" w:hAnsi="宋体"/>
          <w:color w:val="000000"/>
          <w:shd w:val="clear" w:color="auto" w:fill="FCFCFC"/>
        </w:rPr>
        <w:t>(GnRH)</w:t>
      </w:r>
      <w:r>
        <w:rPr>
          <w:rFonts w:hint="eastAsia" w:ascii="宋体" w:hAnsi="宋体"/>
          <w:color w:val="000000"/>
        </w:rPr>
        <w:t>调控机制，以便在繁育中更好应用，本实验利用免疫组化方法研究了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color w:val="000000"/>
        </w:rPr>
        <w:t>在斑节对虾卵巢发育五个时期（</w:t>
      </w:r>
      <w:r>
        <w:rPr>
          <w:rFonts w:ascii="宋体" w:hAnsi="宋体"/>
          <w:color w:val="000000"/>
        </w:rPr>
        <w:t>II</w:t>
      </w:r>
      <w:r>
        <w:rPr>
          <w:rFonts w:hint="eastAsia" w:ascii="宋体" w:hAnsi="宋体"/>
          <w:color w:val="000000"/>
        </w:rPr>
        <w:t>至</w:t>
      </w:r>
      <w:r>
        <w:rPr>
          <w:rFonts w:ascii="宋体" w:hAnsi="宋体"/>
          <w:color w:val="000000"/>
        </w:rPr>
        <w:t>VI</w:t>
      </w:r>
      <w:r>
        <w:rPr>
          <w:rFonts w:hint="eastAsia" w:ascii="宋体" w:hAnsi="宋体"/>
          <w:color w:val="000000"/>
        </w:rPr>
        <w:t>期）中在神经系统及卵巢中的免疫定位和分布，以及在肝胰腺及卵巢中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color w:val="000000"/>
        </w:rPr>
        <w:t>信号通路相关的调控因素</w:t>
      </w:r>
      <w:r>
        <w:rPr>
          <w:rFonts w:ascii="宋体" w:hAnsi="宋体"/>
          <w:color w:val="000000"/>
        </w:rPr>
        <w:t>c-Jun</w:t>
      </w:r>
      <w:r>
        <w:rPr>
          <w:rFonts w:hint="eastAsia" w:ascii="宋体" w:hAnsi="宋体"/>
          <w:color w:val="000000"/>
        </w:rPr>
        <w:t>及卵黄蛋白原的表达规律</w:t>
      </w:r>
      <w:r>
        <w:rPr>
          <w:rFonts w:ascii="宋体" w:hAnsi="宋体"/>
          <w:color w:val="000000"/>
        </w:rPr>
        <w:t>......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关键词：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bCs/>
          <w:color w:val="000000"/>
        </w:rPr>
        <w:t>；神经系统；卵巢；斑节对虾</w:t>
      </w:r>
      <w:r>
        <w:rPr>
          <w:rFonts w:ascii="宋体" w:hAnsi="宋体"/>
          <w:bCs/>
          <w:color w:val="000000"/>
        </w:rPr>
        <w:t xml:space="preserve">; </w:t>
      </w:r>
      <w:r>
        <w:rPr>
          <w:rFonts w:hint="eastAsia" w:ascii="宋体" w:hAnsi="宋体"/>
          <w:bCs/>
          <w:color w:val="000000"/>
        </w:rPr>
        <w:t>免疫组化；卵黄蛋白原；</w:t>
      </w:r>
      <w:r>
        <w:rPr>
          <w:rFonts w:ascii="宋体" w:hAnsi="宋体"/>
          <w:bCs/>
          <w:color w:val="000000"/>
        </w:rPr>
        <w:t>qPCR</w:t>
      </w:r>
      <w:r>
        <w:rPr>
          <w:rFonts w:ascii="宋体" w:hAnsi="宋体"/>
          <w:b/>
          <w:bCs/>
          <w:color w:val="000000"/>
        </w:rPr>
        <w:t xml:space="preserve"> </w:t>
      </w:r>
    </w:p>
    <w:p>
      <w:pPr>
        <w:spacing w:line="360" w:lineRule="exact"/>
        <w:jc w:val="center"/>
        <w:rPr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 xml:space="preserve">The identiﬁcation and distribution of gonadotropin releasing hormone in the central nervous system and ovary of each stages in </w:t>
      </w:r>
      <w:r>
        <w:rPr>
          <w:b/>
          <w:bCs/>
          <w:i/>
          <w:color w:val="000000"/>
          <w:sz w:val="32"/>
          <w:szCs w:val="32"/>
        </w:rPr>
        <w:t>Penaeus monodon</w:t>
      </w:r>
    </w:p>
    <w:p>
      <w:pPr>
        <w:ind w:firstLine="570"/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HAN Ping, YANG Lishi, YANG Qibin, HUANG Jianhua ZHOU Falin JIANG Shigui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(South China Sea Fisheries Research Institute, Chinese Academy of Fishery Sciences, Guangzhou 510300)</w:t>
      </w:r>
    </w:p>
    <w:p>
      <w:pPr>
        <w:rPr>
          <w:color w:val="000000"/>
        </w:rPr>
      </w:pPr>
    </w:p>
    <w:p>
      <w:pPr>
        <w:spacing w:line="300" w:lineRule="exact"/>
        <w:rPr>
          <w:color w:val="000000"/>
        </w:rPr>
      </w:pPr>
      <w:r>
        <w:rPr>
          <w:b/>
          <w:bCs/>
          <w:color w:val="000000"/>
        </w:rPr>
        <w:t>Abstract:</w:t>
      </w:r>
      <w:r>
        <w:rPr>
          <w:color w:val="000000"/>
        </w:rPr>
        <w:t xml:space="preserve"> Gonadotropin-releasing hormone (GnRH) plays important roles in reproduction. In the present study, we demonstrated the existence of GnRH-like peptides in the central nervous system (CNS) and ovary of each stage in </w:t>
      </w:r>
      <w:r>
        <w:rPr>
          <w:i/>
          <w:color w:val="000000"/>
        </w:rPr>
        <w:t>Penaeus monodon</w:t>
      </w:r>
      <w:r>
        <w:rPr>
          <w:color w:val="000000"/>
        </w:rPr>
        <w:t xml:space="preserve"> using immunocytochemistry and quantitative real-time PCR of c-jun and vitellogenin expression quantity. The immunoreactivity (ir) of GnRH was detected in the of medium-sized neurons located in deutocerebrum, both medium-sized and large-sized neurons in thoracic ganglia and abdominal ganglion……</w:t>
      </w:r>
    </w:p>
    <w:p>
      <w:pPr>
        <w:spacing w:line="300" w:lineRule="exact"/>
        <w:ind w:firstLine="570"/>
        <w:rPr>
          <w:color w:val="000000"/>
        </w:rPr>
      </w:pPr>
    </w:p>
    <w:p>
      <w:pPr>
        <w:spacing w:line="3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b/>
          <w:bCs/>
          <w:color w:val="000000"/>
        </w:rPr>
        <w:t>Key words: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GnRH, CNS, ovarian maturation, </w:t>
      </w:r>
      <w:r>
        <w:rPr>
          <w:bCs/>
          <w:i/>
          <w:color w:val="000000"/>
        </w:rPr>
        <w:t>Penaeus monodon</w:t>
      </w:r>
      <w:r>
        <w:rPr>
          <w:bCs/>
          <w:color w:val="000000"/>
        </w:rPr>
        <w:t>, immunocytochemistry, qPCR</w: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方正小标宋简体" w:hAnsi="Times New Roman" w:eastAsia="PMingLiU"/>
          <w:color w:val="000000"/>
          <w:sz w:val="44"/>
          <w:szCs w:val="44"/>
          <w:lang w:val="zh-TW" w:eastAsia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 w:eastAsia="zh-TW"/>
        </w:rPr>
        <w:t>2020范蠡学术大会报告专家信息表</w:t>
      </w:r>
    </w:p>
    <w:p>
      <w:pPr>
        <w:rPr>
          <w:color w:val="000000"/>
        </w:rPr>
      </w:pPr>
    </w:p>
    <w:tbl>
      <w:tblPr>
        <w:tblStyle w:val="1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Style w:val="47"/>
                <w:rFonts w:ascii="宋体"/>
                <w:b/>
                <w:bCs/>
                <w:color w:val="000000"/>
                <w:w w:val="110"/>
              </w:rPr>
            </w:pPr>
            <w:r>
              <w:rPr>
                <w:rStyle w:val="47"/>
                <w:rFonts w:hint="eastAsia" w:ascii="宋体"/>
                <w:b/>
                <w:bCs/>
                <w:color w:val="000000"/>
                <w:w w:val="110"/>
              </w:rPr>
              <w:t>基本信息（必填）</w:t>
            </w:r>
          </w:p>
          <w:p>
            <w:pPr>
              <w:pStyle w:val="14"/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请如实填写本人信息并仔细核实，信息不全或不实者视为无效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姓名</w:t>
            </w:r>
          </w:p>
        </w:tc>
        <w:tc>
          <w:tcPr>
            <w:tcW w:w="64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性别</w:t>
            </w:r>
          </w:p>
        </w:tc>
        <w:sdt>
          <w:sdtPr>
            <w:rPr>
              <w:rFonts w:ascii="宋体" w:hAnsi="宋体"/>
              <w:color w:val="000000"/>
              <w:sz w:val="18"/>
            </w:rPr>
            <w:id w:val="-1053071490"/>
            <w:placeholder>
              <w:docPart w:val="6F121448F60E4A7EABA86EE19F234EF4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>
            <w:rPr>
              <w:rFonts w:ascii="宋体" w:hAnsi="宋体"/>
              <w:color w:val="000000"/>
              <w:sz w:val="18"/>
            </w:rPr>
          </w:sdtEndPr>
          <w:sdtContent>
            <w:tc>
              <w:tcPr>
                <w:tcW w:w="643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/>
                    <w:color w:val="000000"/>
                    <w:sz w:val="18"/>
                  </w:rPr>
                </w:pPr>
                <w:r>
                  <w:rPr>
                    <w:rStyle w:val="46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年龄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E-mail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手机号码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职称职务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学历：</w:t>
            </w:r>
            <w:sdt>
              <w:sdtPr>
                <w:rPr>
                  <w:rFonts w:hint="eastAsia"/>
                  <w:color w:val="000000"/>
                  <w:sz w:val="18"/>
                  <w:szCs w:val="18"/>
                </w:rPr>
                <w:id w:val="-1999172836"/>
                <w:placeholder>
                  <w:docPart w:val="6F121448F60E4A7EABA86EE19F234EF4"/>
                </w:placeholder>
                <w:showingPlcHdr/>
                <w:dropDownList>
                  <w:listItem w:value="选择一项。"/>
                  <w:listItem w:displayText="博士研究生" w:value="博士研究生"/>
                  <w:listItem w:displayText="硕士研究生" w:value="硕士研究生"/>
                  <w:listItem w:displayText="大学本科" w:value="大学本科"/>
                  <w:listItem w:displayText="大专及以下" w:value="大专及以下"/>
                </w:dropDownList>
              </w:sdtPr>
              <w:sdtEndPr>
                <w:rPr>
                  <w:rFonts w:hint="eastAsia"/>
                  <w:color w:val="000000"/>
                  <w:sz w:val="18"/>
                  <w:szCs w:val="18"/>
                </w:rPr>
              </w:sdtEndPr>
              <w:sdtContent>
                <w:r>
                  <w:rPr>
                    <w:rStyle w:val="46"/>
                    <w:rFonts w:hint="eastAsia"/>
                  </w:rPr>
                  <w:t>选择一项。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。</w:t>
            </w:r>
            <w:r>
              <w:rPr>
                <w:rFonts w:hint="eastAsia"/>
                <w:color w:val="000000"/>
                <w:sz w:val="18"/>
                <w:szCs w:val="18"/>
              </w:rPr>
              <w:t>专业技术职称：</w:t>
            </w:r>
            <w:sdt>
              <w:sdtPr>
                <w:rPr>
                  <w:rFonts w:hint="eastAsia"/>
                  <w:color w:val="000000"/>
                  <w:sz w:val="18"/>
                  <w:szCs w:val="18"/>
                </w:rPr>
                <w:id w:val="-1900973824"/>
                <w:placeholder>
                  <w:docPart w:val="6F121448F60E4A7EABA86EE19F234EF4"/>
                </w:placeholder>
                <w:showingPlcHdr/>
                <w:dropDownList>
                  <w:listItem w:value="选择一项。"/>
                  <w:listItem w:displayText="正高级" w:value="正高级"/>
                  <w:listItem w:displayText="副高级" w:value="副高级"/>
                  <w:listItem w:displayText="中级" w:value="中级"/>
                  <w:listItem w:displayText="初级" w:value="初级"/>
                  <w:listItem w:displayText="无" w:value="无"/>
                </w:dropDownList>
              </w:sdtPr>
              <w:sdtEndPr>
                <w:rPr>
                  <w:rFonts w:hint="eastAsia"/>
                  <w:color w:val="000000"/>
                  <w:sz w:val="18"/>
                  <w:szCs w:val="18"/>
                </w:rPr>
              </w:sdtEndPr>
              <w:sdtContent>
                <w:r>
                  <w:rPr>
                    <w:rStyle w:val="46"/>
                    <w:rFonts w:hint="eastAsia"/>
                  </w:rPr>
                  <w:t>选择一项。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。行政职务：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从事专业领域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单位名称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单位地址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邮政编码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Style w:val="47"/>
                <w:rFonts w:ascii="宋体"/>
                <w:b/>
                <w:bCs/>
                <w:color w:val="000000"/>
                <w:w w:val="110"/>
              </w:rPr>
            </w:pPr>
            <w:r>
              <w:rPr>
                <w:rStyle w:val="47"/>
                <w:rFonts w:ascii="宋体"/>
                <w:b/>
                <w:bCs/>
                <w:color w:val="000000"/>
                <w:w w:val="110"/>
              </w:rPr>
              <w:t>口头报告交流申请</w:t>
            </w:r>
            <w:r>
              <w:rPr>
                <w:rStyle w:val="47"/>
                <w:rFonts w:hint="eastAsia" w:ascii="宋体"/>
                <w:b/>
                <w:bCs/>
                <w:color w:val="000000"/>
                <w:w w:val="11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报告人姓名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报名领域</w:t>
            </w:r>
          </w:p>
        </w:tc>
        <w:sdt>
          <w:sdtPr>
            <w:rPr>
              <w:color w:val="000000"/>
              <w:sz w:val="18"/>
              <w:szCs w:val="18"/>
            </w:rPr>
            <w:id w:val="-778722203"/>
            <w:placeholder>
              <w:docPart w:val="6F121448F60E4A7EABA86EE19F234EF4"/>
            </w:placeholder>
            <w:showingPlcHdr/>
            <w:dropDownList>
              <w:listItem w:value="选择一项。"/>
              <w:listItem w:displayText="1. 绿色水产养殖新技术新模式" w:value="1. 绿色水产养殖新技术新模式"/>
              <w:listItem w:displayText="2. 水产生物技术与遗传育种" w:value="2. 水产生物技术与遗传育种"/>
              <w:listItem w:displayText="3. 水产养殖动物营养与饲料" w:value="3. 水产养殖动物营养与饲料"/>
              <w:listItem w:displayText="4. 水产病害防控与水产品质量安全" w:value="4. 水产病害防控与水产品质量安全"/>
              <w:listItem w:displayText="5. 海洋渔业资源养护与可持续利用" w:value="5. 海洋渔业资源养护与可持续利用"/>
              <w:listItem w:displayText="6. 水生生物资源养护利用及水域生态修复" w:value="6. 水生生物资源养护利用及水域生态修复"/>
              <w:listItem w:displayText="7. 濒危水生野生动物保护" w:value="7. 濒危水生野生动物保护"/>
              <w:listItem w:displayText="8. 水产品加工与综合利用" w:value="8. 水产品加工与综合利用"/>
              <w:listItem w:displayText="9. 休闲渔业与渔文化" w:value="9. 休闲渔业与渔文化"/>
              <w:listItem w:displayText="10. 现代渔业设施装备" w:value="10. 现代渔业设施装备"/>
              <w:listItem w:displayText="11. 渔业信息化与新兴技术应用" w:value="11. 渔业信息化与新兴技术应用"/>
              <w:listItem w:displayText="12. 渔业经济、政策与管理" w:value="12. 渔业经济、政策与管理"/>
            </w:dropDownList>
          </w:sdtPr>
          <w:sdtEndPr>
            <w:rPr>
              <w:color w:val="000000"/>
              <w:sz w:val="18"/>
              <w:szCs w:val="18"/>
            </w:rPr>
          </w:sdtEndPr>
          <w:sdtContent>
            <w:tc>
              <w:tcPr>
                <w:tcW w:w="643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pStyle w:val="16"/>
                  <w:jc w:val="both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Style w:val="46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报名专题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</w:t>
            </w:r>
            <w:r>
              <w:rPr>
                <w:color w:val="000000"/>
                <w:sz w:val="18"/>
                <w:szCs w:val="18"/>
              </w:rPr>
              <w:t>题目（中文）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  <w:r>
              <w:rPr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Style w:val="47"/>
                <w:rFonts w:ascii="宋体"/>
                <w:b/>
                <w:bCs/>
                <w:color w:val="000000"/>
                <w:w w:val="110"/>
              </w:rPr>
            </w:pPr>
            <w:r>
              <w:rPr>
                <w:rStyle w:val="47"/>
                <w:rFonts w:ascii="宋体"/>
                <w:b/>
                <w:bCs/>
                <w:color w:val="000000"/>
                <w:w w:val="110"/>
              </w:rPr>
              <w:t xml:space="preserve"> </w:t>
            </w:r>
            <w:r>
              <w:rPr>
                <w:rStyle w:val="47"/>
                <w:rFonts w:hint="eastAsia" w:ascii="宋体"/>
                <w:b/>
                <w:bCs/>
                <w:color w:val="000000"/>
                <w:w w:val="110"/>
              </w:rPr>
              <w:t>墙</w:t>
            </w:r>
            <w:r>
              <w:rPr>
                <w:rStyle w:val="47"/>
                <w:rFonts w:ascii="宋体"/>
                <w:b/>
                <w:bCs/>
                <w:color w:val="000000"/>
                <w:w w:val="110"/>
              </w:rPr>
              <w:t>报交流申请</w:t>
            </w:r>
            <w:r>
              <w:rPr>
                <w:rStyle w:val="47"/>
                <w:rFonts w:hint="eastAsia" w:ascii="宋体"/>
                <w:b/>
                <w:bCs/>
                <w:color w:val="000000"/>
                <w:w w:val="11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报告人姓名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报名领域</w:t>
            </w:r>
          </w:p>
        </w:tc>
        <w:sdt>
          <w:sdtPr>
            <w:rPr>
              <w:color w:val="000000"/>
              <w:sz w:val="18"/>
              <w:szCs w:val="18"/>
            </w:rPr>
            <w:id w:val="-2131311622"/>
            <w:placeholder>
              <w:docPart w:val="BA572507AED444DA8B62AB31239A345A"/>
            </w:placeholder>
            <w:showingPlcHdr/>
            <w:dropDownList>
              <w:listItem w:value="选择一项。"/>
              <w:listItem w:displayText="1. 绿色水产养殖新技术新模式" w:value="1. 绿色水产养殖新技术新模式"/>
              <w:listItem w:displayText="2. 水产生物技术与遗传育种" w:value="2. 水产生物技术与遗传育种"/>
              <w:listItem w:displayText="3. 水产养殖动物营养与饲料" w:value="3. 水产养殖动物营养与饲料"/>
              <w:listItem w:displayText="4. 水产病害防控与水产品质量安全" w:value="4. 水产病害防控与水产品质量安全"/>
              <w:listItem w:displayText="5. 海洋渔业资源养护与可持续利用" w:value="5. 海洋渔业资源养护与可持续利用"/>
              <w:listItem w:displayText="6. 水生生物资源养护利用及水域生态修复" w:value="6. 水生生物资源养护利用及水域生态修复"/>
              <w:listItem w:displayText="7. 濒危水生野生动物保护" w:value="7. 濒危水生野生动物保护"/>
              <w:listItem w:displayText="8. 水产品加工与综合利用" w:value="8. 水产品加工与综合利用"/>
              <w:listItem w:displayText="9. 休闲渔业与渔文化" w:value="9. 休闲渔业与渔文化"/>
              <w:listItem w:displayText="10. 现代渔业设施装备" w:value="10. 现代渔业设施装备"/>
              <w:listItem w:displayText="11. 渔业信息化与新兴技术应用" w:value="11. 渔业信息化与新兴技术应用"/>
              <w:listItem w:displayText="12. 渔业经济、政策与管理" w:value="12. 渔业经济、政策与管理"/>
            </w:dropDownList>
          </w:sdtPr>
          <w:sdtEndPr>
            <w:rPr>
              <w:color w:val="000000"/>
              <w:sz w:val="18"/>
              <w:szCs w:val="18"/>
            </w:rPr>
          </w:sdtEndPr>
          <w:sdtContent>
            <w:tc>
              <w:tcPr>
                <w:tcW w:w="643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pStyle w:val="16"/>
                  <w:jc w:val="both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Style w:val="46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报名专题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</w:t>
            </w:r>
            <w:r>
              <w:rPr>
                <w:color w:val="000000"/>
                <w:sz w:val="18"/>
                <w:szCs w:val="18"/>
              </w:rPr>
              <w:t>题目（中文）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墙报</w:t>
            </w:r>
            <w:r>
              <w:rPr>
                <w:color w:val="000000"/>
                <w:sz w:val="18"/>
                <w:szCs w:val="18"/>
              </w:rPr>
              <w:t>篇幅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18"/>
                  <w:szCs w:val="18"/>
                </w:rPr>
                <w:id w:val="898017530"/>
                <w:placeholder>
                  <w:docPart w:val="6F121448F60E4A7EABA86EE19F234EF4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>
                <w:rPr>
                  <w:rFonts w:hint="eastAsia"/>
                  <w:color w:val="000000"/>
                  <w:sz w:val="18"/>
                  <w:szCs w:val="18"/>
                </w:rPr>
              </w:sdtEndPr>
              <w:sdtContent>
                <w:r>
                  <w:rPr>
                    <w:rStyle w:val="46"/>
                    <w:rFonts w:hint="eastAsia"/>
                  </w:rPr>
                  <w:t>选择一项。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张竖版A3纸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  <w:r>
              <w:rPr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30"/>
        <w:szCs w:val="30"/>
      </w:rPr>
      <w:id w:val="1423299407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13"/>
          <w:jc w:val="right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5 -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30"/>
        <w:szCs w:val="30"/>
      </w:rPr>
      <w:id w:val="1777518368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13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6 -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A71D"/>
    <w:multiLevelType w:val="singleLevel"/>
    <w:tmpl w:val="5C3FA7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2C"/>
    <w:rsid w:val="00234BC8"/>
    <w:rsid w:val="00366840"/>
    <w:rsid w:val="0049735F"/>
    <w:rsid w:val="0052082C"/>
    <w:rsid w:val="006A6028"/>
    <w:rsid w:val="007A229F"/>
    <w:rsid w:val="007D4CFE"/>
    <w:rsid w:val="008A051F"/>
    <w:rsid w:val="008D5C3F"/>
    <w:rsid w:val="00900FBA"/>
    <w:rsid w:val="00A63AC8"/>
    <w:rsid w:val="00AD34E4"/>
    <w:rsid w:val="1578696D"/>
    <w:rsid w:val="614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spacing w:before="240" w:after="60"/>
      <w:outlineLvl w:val="1"/>
    </w:pPr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54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styleId="17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Theme="minorHAnsi" w:hAnsiTheme="minorHAnsi"/>
      <w:b/>
      <w:i/>
      <w:iCs/>
    </w:rPr>
  </w:style>
  <w:style w:type="character" w:customStyle="1" w:styleId="22">
    <w:name w:val="标题 2 Char"/>
    <w:basedOn w:val="19"/>
    <w:link w:val="3"/>
    <w:uiPriority w:val="9"/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1 Char"/>
    <w:basedOn w:val="19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4">
    <w:name w:val="bjh-p"/>
    <w:basedOn w:val="19"/>
    <w:qFormat/>
    <w:uiPriority w:val="0"/>
  </w:style>
  <w:style w:type="character" w:customStyle="1" w:styleId="25">
    <w:name w:val="标题 3 Char"/>
    <w:basedOn w:val="19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6">
    <w:name w:val="标题 4 Char"/>
    <w:basedOn w:val="19"/>
    <w:link w:val="5"/>
    <w:semiHidden/>
    <w:uiPriority w:val="9"/>
    <w:rPr>
      <w:b/>
      <w:bCs/>
      <w:sz w:val="28"/>
      <w:szCs w:val="28"/>
    </w:rPr>
  </w:style>
  <w:style w:type="character" w:customStyle="1" w:styleId="27">
    <w:name w:val="标题 5 Char"/>
    <w:basedOn w:val="19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8">
    <w:name w:val="标题 6 Char"/>
    <w:basedOn w:val="19"/>
    <w:link w:val="7"/>
    <w:semiHidden/>
    <w:uiPriority w:val="9"/>
    <w:rPr>
      <w:b/>
      <w:bCs/>
    </w:rPr>
  </w:style>
  <w:style w:type="character" w:customStyle="1" w:styleId="29">
    <w:name w:val="标题 7 Char"/>
    <w:basedOn w:val="19"/>
    <w:link w:val="8"/>
    <w:semiHidden/>
    <w:uiPriority w:val="9"/>
    <w:rPr>
      <w:sz w:val="24"/>
      <w:szCs w:val="24"/>
    </w:rPr>
  </w:style>
  <w:style w:type="character" w:customStyle="1" w:styleId="30">
    <w:name w:val="标题 8 Char"/>
    <w:basedOn w:val="19"/>
    <w:link w:val="9"/>
    <w:semiHidden/>
    <w:uiPriority w:val="9"/>
    <w:rPr>
      <w:i/>
      <w:iCs/>
      <w:sz w:val="24"/>
      <w:szCs w:val="24"/>
    </w:rPr>
  </w:style>
  <w:style w:type="character" w:customStyle="1" w:styleId="31">
    <w:name w:val="标题 9 Char"/>
    <w:basedOn w:val="19"/>
    <w:link w:val="10"/>
    <w:semiHidden/>
    <w:uiPriority w:val="9"/>
    <w:rPr>
      <w:rFonts w:asciiTheme="majorHAnsi" w:hAnsiTheme="majorHAnsi" w:eastAsiaTheme="majorEastAsia"/>
    </w:rPr>
  </w:style>
  <w:style w:type="character" w:customStyle="1" w:styleId="32">
    <w:name w:val="标题 Char"/>
    <w:basedOn w:val="19"/>
    <w:link w:val="17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3">
    <w:name w:val="副标题 Char"/>
    <w:basedOn w:val="19"/>
    <w:link w:val="15"/>
    <w:uiPriority w:val="11"/>
    <w:rPr>
      <w:rFonts w:asciiTheme="majorHAnsi" w:hAnsiTheme="majorHAnsi" w:eastAsiaTheme="majorEastAsia"/>
      <w:sz w:val="24"/>
      <w:szCs w:val="24"/>
    </w:rPr>
  </w:style>
  <w:style w:type="paragraph" w:styleId="34">
    <w:name w:val="No Spacing"/>
    <w:basedOn w:val="1"/>
    <w:qFormat/>
    <w:uiPriority w:val="1"/>
    <w:rPr>
      <w:szCs w:val="32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</w:rPr>
  </w:style>
  <w:style w:type="character" w:customStyle="1" w:styleId="37">
    <w:name w:val="引用 Char"/>
    <w:basedOn w:val="19"/>
    <w:link w:val="36"/>
    <w:qFormat/>
    <w:uiPriority w:val="29"/>
    <w:rPr>
      <w:i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明显引用 Char"/>
    <w:basedOn w:val="19"/>
    <w:link w:val="38"/>
    <w:qFormat/>
    <w:uiPriority w:val="30"/>
    <w:rPr>
      <w:b/>
      <w:i/>
      <w:sz w:val="24"/>
    </w:rPr>
  </w:style>
  <w:style w:type="character" w:customStyle="1" w:styleId="40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4">
    <w:name w:val="Book Title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styleId="46">
    <w:name w:val="Placeholder Text"/>
    <w:semiHidden/>
    <w:qFormat/>
    <w:uiPriority w:val="99"/>
    <w:rPr>
      <w:color w:val="808080"/>
    </w:rPr>
  </w:style>
  <w:style w:type="character" w:customStyle="1" w:styleId="47">
    <w:name w:val="style27 style44"/>
    <w:qFormat/>
    <w:uiPriority w:val="7"/>
  </w:style>
  <w:style w:type="character" w:customStyle="1" w:styleId="48">
    <w:name w:val="页眉 Char"/>
    <w:link w:val="14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9">
    <w:name w:val="页脚 Char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50">
    <w:name w:val="页脚 Char1"/>
    <w:basedOn w:val="19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51">
    <w:name w:val="页眉 Char1"/>
    <w:basedOn w:val="19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52">
    <w:name w:val="批注框文本 Char"/>
    <w:basedOn w:val="19"/>
    <w:link w:val="12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53">
    <w:name w:val="readonlyspan1"/>
    <w:basedOn w:val="19"/>
    <w:qFormat/>
    <w:uiPriority w:val="0"/>
    <w:rPr>
      <w:bdr w:val="single" w:color="BCBCBC" w:sz="2" w:space="0"/>
    </w:rPr>
  </w:style>
  <w:style w:type="character" w:customStyle="1" w:styleId="54">
    <w:name w:val="日期 Char"/>
    <w:basedOn w:val="19"/>
    <w:link w:val="11"/>
    <w:semiHidden/>
    <w:qFormat/>
    <w:uiPriority w:val="99"/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F121448F60E4A7EABA86EE19F234E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BA4DDD-98B5-4746-88D5-F8D7F35819E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BA572507AED444DA8B62AB31239A34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07AC6D-BED9-4173-9886-EC25CCB0B87D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02"/>
    <w:rsid w:val="00157853"/>
    <w:rsid w:val="007B5602"/>
    <w:rsid w:val="00BB582A"/>
    <w:rsid w:val="00B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F121448F60E4A7EABA86EE19F234E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A572507AED444DA8B62AB31239A34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8D070EEE58F43A1ABE3B669945832A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460</Words>
  <Characters>2623</Characters>
  <Lines>21</Lines>
  <Paragraphs>6</Paragraphs>
  <TotalTime>18</TotalTime>
  <ScaleCrop>false</ScaleCrop>
  <LinksUpToDate>false</LinksUpToDate>
  <CharactersWithSpaces>3077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2020-07-14T03:14:00Z</dcterms:created>
  <dc:creator>lilidong</dc:creator>
  <cp:lastModifiedBy>baye916</cp:lastModifiedBy>
  <cp:lastPrinted>2020-07-14T03:28:00Z</cp:lastPrinted>
  <dcterms:modified xsi:type="dcterms:W3CDTF">2020-07-15T00:40:33Z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