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绩效目标和任务清单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一、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蔬菜绿色高质高效行动项目（万州、涪陵）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1、</w:t>
      </w:r>
      <w:r>
        <w:rPr>
          <w:rFonts w:ascii="Times New Roman" w:hAnsi="Times New Roman" w:eastAsia="方正仿宋_GBK" w:cs="Times New Roman"/>
          <w:sz w:val="32"/>
          <w:szCs w:val="32"/>
        </w:rPr>
        <w:t>集中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建立</w:t>
      </w:r>
      <w:r>
        <w:rPr>
          <w:rFonts w:ascii="Times New Roman" w:hAnsi="Times New Roman" w:eastAsia="方正仿宋_GBK" w:cs="Times New Roman"/>
          <w:sz w:val="32"/>
          <w:szCs w:val="32"/>
        </w:rPr>
        <w:t>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亩</w:t>
      </w:r>
      <w:r>
        <w:rPr>
          <w:rFonts w:ascii="Times New Roman" w:hAnsi="Times New Roman" w:eastAsia="方正仿宋_GBK" w:cs="Times New Roman"/>
          <w:sz w:val="32"/>
          <w:szCs w:val="32"/>
        </w:rPr>
        <w:t>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辐射带动1万亩以上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2、集成推广绿色高质高效技术模式1个以上。 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3、全区蔬菜节本增效5%以上。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4、蔬菜示范基地品种优质化率100%。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二、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优质中稻—再生稻绿色高质高效行动项目（大足、永川、铜梁、开州、梁平、江津）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建立</w:t>
      </w:r>
      <w:r>
        <w:rPr>
          <w:rFonts w:ascii="Times New Roman" w:hAnsi="Times New Roman" w:eastAsia="方正仿宋_GBK" w:cs="Times New Roman"/>
          <w:sz w:val="32"/>
          <w:szCs w:val="32"/>
        </w:rPr>
        <w:t>20个千亩方和5个万亩片，辐射带动10万亩以上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中稻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</w:t>
      </w:r>
      <w:r>
        <w:rPr>
          <w:rFonts w:ascii="Times New Roman" w:hAnsi="Times New Roman" w:eastAsia="方正仿宋_GBK" w:cs="Times New Roman"/>
          <w:sz w:val="32"/>
          <w:szCs w:val="32"/>
        </w:rPr>
        <w:t>再生稻模式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亩产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0公斤，</w:t>
      </w:r>
      <w:r>
        <w:rPr>
          <w:rFonts w:ascii="Times New Roman" w:hAnsi="Times New Roman" w:eastAsia="方正仿宋_GBK" w:cs="Times New Roman"/>
          <w:sz w:val="32"/>
          <w:szCs w:val="32"/>
        </w:rPr>
        <w:t>其中再生稻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亩产</w:t>
      </w:r>
      <w:r>
        <w:rPr>
          <w:rFonts w:ascii="Times New Roman" w:hAnsi="Times New Roman" w:eastAsia="方正仿宋_GBK" w:cs="Times New Roman"/>
          <w:sz w:val="32"/>
          <w:szCs w:val="32"/>
        </w:rPr>
        <w:t>200公斤以上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2、集成推广绿色高质高效技术模式1个以上。 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3、全区中稻—再生稻节本增效5%以上。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三、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优质中稻绿色高质高效行动项目（南川、万州、酉阳、巴南、云阳、丰都）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建立</w:t>
      </w:r>
      <w:r>
        <w:rPr>
          <w:rFonts w:ascii="Times New Roman" w:hAnsi="Times New Roman" w:eastAsia="方正仿宋_GBK" w:cs="Times New Roman"/>
          <w:sz w:val="32"/>
          <w:szCs w:val="32"/>
        </w:rPr>
        <w:t>20个千亩方和5个万亩片，辐射带动10万亩以上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中稻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亩产700公斤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2、集成推广绿色高质高效技术模式1个以上。 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3、全区中稻节本增效5%以上。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四、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马铃薯绿色高质高效行动项目（巫溪、巫山）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建立</w:t>
      </w:r>
      <w:r>
        <w:rPr>
          <w:rFonts w:ascii="Times New Roman" w:hAnsi="Times New Roman" w:eastAsia="方正仿宋_GBK" w:cs="Times New Roman"/>
          <w:sz w:val="32"/>
          <w:szCs w:val="32"/>
        </w:rPr>
        <w:t>20个千亩方和5个万亩片，辐射带动10万亩以上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马铃薯亩产</w:t>
      </w:r>
      <w:r>
        <w:rPr>
          <w:rFonts w:ascii="Times New Roman" w:hAnsi="Times New Roman" w:eastAsia="方正仿宋_GBK" w:cs="Times New Roman"/>
          <w:sz w:val="32"/>
          <w:szCs w:val="32"/>
        </w:rPr>
        <w:t>套作1300公斤以上、净作2200公斤以上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2、集成推广绿色高质高效技术模式1个以上。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3、全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县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马铃薯节本增效5%以上。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五、甘薯</w:t>
      </w: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绿色高质高效行动项目（奉节、彭水）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1、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建立</w:t>
      </w:r>
      <w:r>
        <w:rPr>
          <w:rFonts w:ascii="Times New Roman" w:hAnsi="Times New Roman" w:eastAsia="方正仿宋_GBK" w:cs="Times New Roman"/>
          <w:sz w:val="32"/>
          <w:szCs w:val="32"/>
        </w:rPr>
        <w:t>20个千亩方和5个万亩片，辐射带动10万亩以上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甘薯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亩产</w:t>
      </w:r>
      <w:r>
        <w:rPr>
          <w:rFonts w:ascii="Times New Roman" w:hAnsi="Times New Roman" w:eastAsia="方正仿宋_GBK" w:cs="Times New Roman"/>
          <w:sz w:val="32"/>
          <w:szCs w:val="32"/>
        </w:rPr>
        <w:t>套作1300公斤以上、净作2200公斤以上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2、集成推广绿色高质高效技术模式1个以上。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ab/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3、全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县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甘薯节本增效5%以上。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六、2022年绿色高质高效行动技术支撑项目（市农技推广总站）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提供全市2022年绿色高质高效行动技术支撑。</w:t>
      </w:r>
    </w:p>
    <w:p>
      <w:pPr>
        <w:pStyle w:val="2"/>
        <w:spacing w:line="600" w:lineRule="exact"/>
        <w:rPr>
          <w:rFonts w:hint="default" w:cs="Times New Roman"/>
        </w:rPr>
      </w:pPr>
    </w:p>
    <w:p>
      <w:pPr>
        <w:spacing w:line="500" w:lineRule="exact"/>
        <w:ind w:firstLine="3564" w:firstLineChars="810"/>
        <w:rPr>
          <w:rFonts w:ascii="Times New Roman" w:hAnsi="Times New Roman" w:eastAsia="黑体" w:cs="Times New Roman"/>
          <w:sz w:val="44"/>
          <w:szCs w:val="44"/>
        </w:rPr>
      </w:pPr>
    </w:p>
    <w:p>
      <w:pPr>
        <w:jc w:val="center"/>
        <w:rPr>
          <w:rFonts w:hint="eastAsia" w:ascii="方正仿宋_GBK" w:hAnsi="方正仿宋_GBK" w:eastAsia="方正仿宋_GBK" w:cs="方正仿宋_GBK"/>
          <w:color w:val="000000"/>
          <w:spacing w:val="20"/>
          <w:sz w:val="28"/>
          <w:szCs w:val="28"/>
        </w:rPr>
      </w:pPr>
    </w:p>
    <w:p>
      <w:pPr>
        <w:jc w:val="left"/>
        <w:rPr>
          <w:rFonts w:hint="eastAsia" w:ascii="方正仿宋_GBK" w:hAnsi="方正仿宋_GBK" w:eastAsia="方正仿宋_GBK" w:cs="方正仿宋_GBK"/>
          <w:color w:val="000000"/>
          <w:spacing w:val="20"/>
          <w:sz w:val="28"/>
          <w:szCs w:val="28"/>
        </w:rPr>
      </w:pPr>
    </w:p>
    <w:p>
      <w:pPr>
        <w:jc w:val="left"/>
        <w:rPr>
          <w:rFonts w:hint="eastAsia" w:ascii="方正仿宋_GBK" w:hAnsi="方正仿宋_GBK" w:eastAsia="方正仿宋_GBK" w:cs="方正仿宋_GBK"/>
          <w:color w:val="000000"/>
          <w:spacing w:val="20"/>
          <w:sz w:val="28"/>
          <w:szCs w:val="28"/>
        </w:rPr>
      </w:pPr>
    </w:p>
    <w:p>
      <w:pPr>
        <w:jc w:val="center"/>
        <w:rPr>
          <w:rFonts w:hint="eastAsia" w:ascii="方正仿宋_GBK" w:hAnsi="方正仿宋_GBK" w:eastAsia="方正仿宋_GBK" w:cs="方正仿宋_GBK"/>
          <w:color w:val="000000"/>
          <w:spacing w:val="20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MjdiMGI0NTM1OGU5YWYwNjBiMzZhNjVlNDhlNDQifQ=="/>
  </w:docVars>
  <w:rsids>
    <w:rsidRoot w:val="19023C5B"/>
    <w:rsid w:val="1902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uto"/>
    </w:pPr>
    <w:rPr>
      <w:rFonts w:ascii="Times New Roman" w:hAnsi="Times New Roman" w:eastAsia="宋体"/>
      <w:sz w:val="21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2022-12-13T11:26:00Z</dcterms:created>
  <dc:creator>nemo</dc:creator>
  <cp:lastModifiedBy>nemo</cp:lastModifiedBy>
  <dcterms:modified xsi:type="dcterms:W3CDTF">2022-12-13T11:27:07Z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FE6B8E89BD3945ACB596DF951B5B587E</vt:lpwstr>
  </property>
</Properties>
</file>